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Look w:val="04A0" w:firstRow="1" w:lastRow="0" w:firstColumn="1" w:lastColumn="0" w:noHBand="0" w:noVBand="1"/>
      </w:tblPr>
      <w:tblGrid>
        <w:gridCol w:w="338"/>
        <w:gridCol w:w="2143"/>
        <w:gridCol w:w="338"/>
        <w:gridCol w:w="2115"/>
        <w:gridCol w:w="338"/>
        <w:gridCol w:w="2119"/>
        <w:gridCol w:w="338"/>
        <w:gridCol w:w="2197"/>
      </w:tblGrid>
      <w:tr w:rsidR="005E4546" w:rsidRPr="00AF663E" w14:paraId="167427FC" w14:textId="77777777" w:rsidTr="00D853BC">
        <w:trPr>
          <w:trHeight w:val="262"/>
        </w:trPr>
        <w:tc>
          <w:tcPr>
            <w:tcW w:w="284" w:type="dxa"/>
          </w:tcPr>
          <w:p w14:paraId="7E0DB401" w14:textId="6280CC97"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86" w:type="dxa"/>
          </w:tcPr>
          <w:p w14:paraId="6EBF96C7" w14:textId="77777777" w:rsidR="005E4546" w:rsidRPr="00AF663E" w:rsidRDefault="005E4546" w:rsidP="00D853BC">
            <w:pPr>
              <w:rPr>
                <w:rFonts w:ascii="Calibri" w:hAnsi="Calibri" w:cs="Times New Roman"/>
              </w:rPr>
            </w:pPr>
            <w:r w:rsidRPr="00AF663E">
              <w:rPr>
                <w:rFonts w:ascii="Calibri" w:hAnsi="Calibri" w:cs="Times New Roman"/>
              </w:rPr>
              <w:t>Jill Pfeiffer</w:t>
            </w:r>
          </w:p>
        </w:tc>
        <w:tc>
          <w:tcPr>
            <w:tcW w:w="283" w:type="dxa"/>
          </w:tcPr>
          <w:p w14:paraId="4708396B" w14:textId="5C0CEE05"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66" w:type="dxa"/>
          </w:tcPr>
          <w:p w14:paraId="218F91B8" w14:textId="77777777" w:rsidR="005E4546" w:rsidRPr="00AF663E" w:rsidRDefault="005E4546" w:rsidP="00D853BC">
            <w:pPr>
              <w:rPr>
                <w:rFonts w:ascii="Calibri" w:hAnsi="Calibri" w:cs="Times New Roman"/>
              </w:rPr>
            </w:pPr>
            <w:r w:rsidRPr="00AF663E">
              <w:rPr>
                <w:rFonts w:ascii="Calibri" w:hAnsi="Calibri" w:cs="Times New Roman"/>
              </w:rPr>
              <w:t xml:space="preserve">Matt </w:t>
            </w:r>
            <w:proofErr w:type="spellStart"/>
            <w:r w:rsidRPr="00AF663E">
              <w:rPr>
                <w:rFonts w:ascii="Calibri" w:hAnsi="Calibri" w:cs="Times New Roman"/>
              </w:rPr>
              <w:t>Pitassi</w:t>
            </w:r>
            <w:proofErr w:type="spellEnd"/>
          </w:p>
        </w:tc>
        <w:tc>
          <w:tcPr>
            <w:tcW w:w="283" w:type="dxa"/>
          </w:tcPr>
          <w:p w14:paraId="1BD5FD23" w14:textId="11CBD801"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73" w:type="dxa"/>
          </w:tcPr>
          <w:p w14:paraId="7B5CF184" w14:textId="77777777" w:rsidR="005E4546" w:rsidRPr="00AF663E" w:rsidRDefault="005E4546" w:rsidP="00D853BC">
            <w:pPr>
              <w:rPr>
                <w:rFonts w:ascii="Calibri" w:hAnsi="Calibri" w:cs="Times New Roman"/>
              </w:rPr>
            </w:pPr>
            <w:r w:rsidRPr="00AF663E">
              <w:rPr>
                <w:rFonts w:ascii="Calibri" w:hAnsi="Calibri" w:cs="Times New Roman"/>
              </w:rPr>
              <w:t>Irene Truong</w:t>
            </w:r>
          </w:p>
        </w:tc>
        <w:tc>
          <w:tcPr>
            <w:tcW w:w="283" w:type="dxa"/>
          </w:tcPr>
          <w:p w14:paraId="37AA51EF" w14:textId="3AC5910A"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248" w:type="dxa"/>
          </w:tcPr>
          <w:p w14:paraId="1C1616C4" w14:textId="0DCE4BC3" w:rsidR="005E4546" w:rsidRPr="00AF663E" w:rsidRDefault="000C1CAA" w:rsidP="00D853BC">
            <w:pPr>
              <w:rPr>
                <w:rFonts w:ascii="Calibri" w:hAnsi="Calibri" w:cs="Times New Roman"/>
              </w:rPr>
            </w:pPr>
            <w:r>
              <w:rPr>
                <w:rFonts w:ascii="Calibri" w:hAnsi="Calibri" w:cs="Times New Roman"/>
              </w:rPr>
              <w:t xml:space="preserve">Adam </w:t>
            </w:r>
            <w:proofErr w:type="spellStart"/>
            <w:r>
              <w:rPr>
                <w:rFonts w:ascii="Calibri" w:hAnsi="Calibri" w:cs="Times New Roman"/>
              </w:rPr>
              <w:t>Wetsman</w:t>
            </w:r>
            <w:proofErr w:type="spellEnd"/>
          </w:p>
        </w:tc>
      </w:tr>
      <w:tr w:rsidR="005E4546" w:rsidRPr="00AF663E" w14:paraId="6C9BB3FC" w14:textId="77777777" w:rsidTr="00D853BC">
        <w:trPr>
          <w:trHeight w:val="247"/>
        </w:trPr>
        <w:tc>
          <w:tcPr>
            <w:tcW w:w="284" w:type="dxa"/>
          </w:tcPr>
          <w:p w14:paraId="012EACAB" w14:textId="0235AFF3"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86" w:type="dxa"/>
          </w:tcPr>
          <w:p w14:paraId="76A2BF7C" w14:textId="77777777" w:rsidR="005E4546" w:rsidRPr="00AF663E" w:rsidRDefault="005E4546" w:rsidP="00D853BC">
            <w:pPr>
              <w:rPr>
                <w:rFonts w:ascii="Calibri" w:hAnsi="Calibri" w:cs="Times New Roman"/>
              </w:rPr>
            </w:pPr>
            <w:r w:rsidRPr="00AF663E">
              <w:rPr>
                <w:rFonts w:ascii="Calibri" w:hAnsi="Calibri" w:cs="Times New Roman"/>
              </w:rPr>
              <w:t>Zulma Calderon</w:t>
            </w:r>
          </w:p>
        </w:tc>
        <w:tc>
          <w:tcPr>
            <w:tcW w:w="283" w:type="dxa"/>
          </w:tcPr>
          <w:p w14:paraId="5C98EE0F" w14:textId="771426A8"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66" w:type="dxa"/>
          </w:tcPr>
          <w:p w14:paraId="71F19E1F" w14:textId="77777777" w:rsidR="005E4546" w:rsidRPr="00AF663E" w:rsidRDefault="005E4546" w:rsidP="00D853BC">
            <w:pPr>
              <w:rPr>
                <w:rFonts w:ascii="Calibri" w:hAnsi="Calibri" w:cs="Times New Roman"/>
              </w:rPr>
            </w:pPr>
            <w:r w:rsidRPr="00AF663E">
              <w:rPr>
                <w:rFonts w:ascii="Calibri" w:hAnsi="Calibri" w:cs="Times New Roman"/>
              </w:rPr>
              <w:t xml:space="preserve">Scott </w:t>
            </w:r>
            <w:proofErr w:type="spellStart"/>
            <w:r w:rsidRPr="00AF663E">
              <w:rPr>
                <w:rFonts w:ascii="Calibri" w:hAnsi="Calibri" w:cs="Times New Roman"/>
              </w:rPr>
              <w:t>Jaeggi</w:t>
            </w:r>
            <w:proofErr w:type="spellEnd"/>
          </w:p>
        </w:tc>
        <w:tc>
          <w:tcPr>
            <w:tcW w:w="283" w:type="dxa"/>
          </w:tcPr>
          <w:p w14:paraId="5D4C01F2" w14:textId="542A5F07"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73" w:type="dxa"/>
          </w:tcPr>
          <w:p w14:paraId="47F39654" w14:textId="77777777" w:rsidR="005E4546" w:rsidRPr="00AF663E" w:rsidRDefault="005E4546" w:rsidP="00D853BC">
            <w:pPr>
              <w:rPr>
                <w:rFonts w:ascii="Calibri" w:hAnsi="Calibri" w:cs="Times New Roman"/>
              </w:rPr>
            </w:pPr>
            <w:r w:rsidRPr="00AF663E">
              <w:rPr>
                <w:rFonts w:ascii="Calibri" w:hAnsi="Calibri" w:cs="Times New Roman"/>
              </w:rPr>
              <w:t xml:space="preserve">Grant </w:t>
            </w:r>
            <w:proofErr w:type="spellStart"/>
            <w:r w:rsidRPr="00AF663E">
              <w:rPr>
                <w:rFonts w:ascii="Calibri" w:hAnsi="Calibri" w:cs="Times New Roman"/>
              </w:rPr>
              <w:t>Linsell</w:t>
            </w:r>
            <w:proofErr w:type="spellEnd"/>
          </w:p>
        </w:tc>
        <w:tc>
          <w:tcPr>
            <w:tcW w:w="283" w:type="dxa"/>
          </w:tcPr>
          <w:p w14:paraId="66DAE031" w14:textId="3E3D3415" w:rsidR="005E4546" w:rsidRPr="00AF663E" w:rsidRDefault="005E4546" w:rsidP="00D853BC">
            <w:pPr>
              <w:rPr>
                <w:rFonts w:ascii="Calibri" w:eastAsia="Calibri" w:hAnsi="Calibri" w:cs="Times New Roman"/>
                <w:b/>
              </w:rPr>
            </w:pPr>
          </w:p>
        </w:tc>
        <w:tc>
          <w:tcPr>
            <w:tcW w:w="2248" w:type="dxa"/>
          </w:tcPr>
          <w:p w14:paraId="75D7A32C" w14:textId="2F2D8447" w:rsidR="005E4546" w:rsidRPr="00AF663E" w:rsidRDefault="0078419A" w:rsidP="00D853BC">
            <w:pPr>
              <w:rPr>
                <w:rFonts w:ascii="Calibri" w:hAnsi="Calibri" w:cs="Times New Roman"/>
              </w:rPr>
            </w:pPr>
            <w:r>
              <w:rPr>
                <w:rFonts w:ascii="Calibri" w:hAnsi="Calibri" w:cs="Times New Roman"/>
              </w:rPr>
              <w:t>Jodi Senk</w:t>
            </w:r>
          </w:p>
        </w:tc>
      </w:tr>
      <w:tr w:rsidR="005E4546" w:rsidRPr="00AF663E" w14:paraId="651CB7E5" w14:textId="77777777" w:rsidTr="00D853BC">
        <w:trPr>
          <w:trHeight w:val="262"/>
        </w:trPr>
        <w:tc>
          <w:tcPr>
            <w:tcW w:w="284" w:type="dxa"/>
          </w:tcPr>
          <w:p w14:paraId="2C54C50E" w14:textId="09129548" w:rsidR="005E4546" w:rsidRPr="00AF663E" w:rsidRDefault="005E4546" w:rsidP="00D853BC">
            <w:pPr>
              <w:rPr>
                <w:rFonts w:ascii="Calibri" w:eastAsia="Calibri" w:hAnsi="Calibri" w:cs="Times New Roman"/>
                <w:b/>
              </w:rPr>
            </w:pPr>
          </w:p>
        </w:tc>
        <w:tc>
          <w:tcPr>
            <w:tcW w:w="2186" w:type="dxa"/>
          </w:tcPr>
          <w:p w14:paraId="4B188353" w14:textId="77777777" w:rsidR="005E4546" w:rsidRPr="000B0CA0" w:rsidRDefault="005E4546" w:rsidP="00D853BC">
            <w:pPr>
              <w:rPr>
                <w:rFonts w:ascii="Calibri" w:hAnsi="Calibri" w:cs="Times New Roman"/>
              </w:rPr>
            </w:pPr>
            <w:r>
              <w:rPr>
                <w:rFonts w:ascii="Calibri" w:hAnsi="Calibri" w:cs="Times New Roman"/>
              </w:rPr>
              <w:t>Yunior Hernandez</w:t>
            </w:r>
          </w:p>
        </w:tc>
        <w:tc>
          <w:tcPr>
            <w:tcW w:w="283" w:type="dxa"/>
          </w:tcPr>
          <w:p w14:paraId="0672EDCF" w14:textId="6DCF5440" w:rsidR="005E4546" w:rsidRPr="00AF663E" w:rsidRDefault="005E4546" w:rsidP="00D853BC">
            <w:pPr>
              <w:rPr>
                <w:rFonts w:ascii="Calibri" w:eastAsia="Calibri" w:hAnsi="Calibri" w:cs="Times New Roman"/>
                <w:b/>
              </w:rPr>
            </w:pPr>
          </w:p>
        </w:tc>
        <w:tc>
          <w:tcPr>
            <w:tcW w:w="2166" w:type="dxa"/>
          </w:tcPr>
          <w:p w14:paraId="0219CBD6" w14:textId="77777777" w:rsidR="005E4546" w:rsidRPr="00AF663E" w:rsidRDefault="005E4546" w:rsidP="00D853BC">
            <w:pPr>
              <w:rPr>
                <w:rFonts w:ascii="Calibri" w:hAnsi="Calibri" w:cs="Times New Roman"/>
              </w:rPr>
            </w:pPr>
            <w:r w:rsidRPr="00AF663E">
              <w:rPr>
                <w:rFonts w:ascii="Calibri" w:hAnsi="Calibri" w:cs="Times New Roman"/>
              </w:rPr>
              <w:t xml:space="preserve">Carol </w:t>
            </w:r>
            <w:proofErr w:type="spellStart"/>
            <w:r w:rsidRPr="00AF663E">
              <w:rPr>
                <w:rFonts w:ascii="Calibri" w:hAnsi="Calibri" w:cs="Times New Roman"/>
              </w:rPr>
              <w:t>Sigala</w:t>
            </w:r>
            <w:proofErr w:type="spellEnd"/>
          </w:p>
        </w:tc>
        <w:tc>
          <w:tcPr>
            <w:tcW w:w="283" w:type="dxa"/>
          </w:tcPr>
          <w:p w14:paraId="32AD759C" w14:textId="788C6003"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73" w:type="dxa"/>
          </w:tcPr>
          <w:p w14:paraId="4385A33D" w14:textId="77777777" w:rsidR="005E4546" w:rsidRPr="00AF663E" w:rsidRDefault="005E4546" w:rsidP="00D853BC">
            <w:pPr>
              <w:rPr>
                <w:rFonts w:ascii="Calibri" w:hAnsi="Calibri" w:cs="Times New Roman"/>
              </w:rPr>
            </w:pPr>
            <w:r w:rsidRPr="00AF663E">
              <w:rPr>
                <w:rFonts w:ascii="Calibri" w:hAnsi="Calibri" w:cs="Times New Roman"/>
              </w:rPr>
              <w:t xml:space="preserve">Gary Van </w:t>
            </w:r>
            <w:proofErr w:type="spellStart"/>
            <w:r w:rsidRPr="00AF663E">
              <w:rPr>
                <w:rFonts w:ascii="Calibri" w:hAnsi="Calibri" w:cs="Times New Roman"/>
              </w:rPr>
              <w:t>Voorhis</w:t>
            </w:r>
            <w:proofErr w:type="spellEnd"/>
          </w:p>
        </w:tc>
        <w:tc>
          <w:tcPr>
            <w:tcW w:w="283" w:type="dxa"/>
          </w:tcPr>
          <w:p w14:paraId="78D4232A" w14:textId="77777777" w:rsidR="005E4546" w:rsidRPr="00AF663E" w:rsidRDefault="005E4546" w:rsidP="00D853BC">
            <w:pPr>
              <w:rPr>
                <w:rFonts w:ascii="Calibri" w:eastAsia="Calibri" w:hAnsi="Calibri" w:cs="Times New Roman"/>
                <w:b/>
              </w:rPr>
            </w:pPr>
          </w:p>
        </w:tc>
        <w:tc>
          <w:tcPr>
            <w:tcW w:w="2248" w:type="dxa"/>
          </w:tcPr>
          <w:p w14:paraId="7D55F173" w14:textId="77777777" w:rsidR="005E4546" w:rsidRPr="00AF663E" w:rsidRDefault="005E4546" w:rsidP="00D853BC">
            <w:pPr>
              <w:rPr>
                <w:rFonts w:ascii="Calibri" w:hAnsi="Calibri" w:cs="Times New Roman"/>
              </w:rPr>
            </w:pPr>
          </w:p>
        </w:tc>
      </w:tr>
      <w:tr w:rsidR="005E4546" w:rsidRPr="00AF663E" w14:paraId="3BDCAEF7" w14:textId="77777777" w:rsidTr="00D853BC">
        <w:trPr>
          <w:trHeight w:val="247"/>
        </w:trPr>
        <w:tc>
          <w:tcPr>
            <w:tcW w:w="284" w:type="dxa"/>
          </w:tcPr>
          <w:p w14:paraId="19C7B46B" w14:textId="60ABB0C0"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86" w:type="dxa"/>
          </w:tcPr>
          <w:p w14:paraId="1D6139C0" w14:textId="77777777" w:rsidR="005E4546" w:rsidRPr="00AF663E" w:rsidRDefault="005E4546" w:rsidP="00D853BC">
            <w:pPr>
              <w:rPr>
                <w:rFonts w:ascii="Calibri" w:hAnsi="Calibri" w:cs="Times New Roman"/>
              </w:rPr>
            </w:pPr>
            <w:r w:rsidRPr="00AF663E">
              <w:rPr>
                <w:rFonts w:ascii="Calibri" w:hAnsi="Calibri" w:cs="Times New Roman"/>
              </w:rPr>
              <w:t>Gabriela Olmos</w:t>
            </w:r>
          </w:p>
        </w:tc>
        <w:tc>
          <w:tcPr>
            <w:tcW w:w="283" w:type="dxa"/>
          </w:tcPr>
          <w:p w14:paraId="35F13C2A" w14:textId="5B1BEA00"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66" w:type="dxa"/>
          </w:tcPr>
          <w:p w14:paraId="029DE0B1" w14:textId="77777777" w:rsidR="005E4546" w:rsidRPr="00AF663E" w:rsidRDefault="005E4546" w:rsidP="00D853BC">
            <w:pPr>
              <w:rPr>
                <w:rFonts w:ascii="Calibri" w:hAnsi="Calibri" w:cs="Times New Roman"/>
              </w:rPr>
            </w:pPr>
            <w:r w:rsidRPr="00AF663E">
              <w:rPr>
                <w:rFonts w:ascii="Calibri" w:hAnsi="Calibri" w:cs="Times New Roman"/>
              </w:rPr>
              <w:t xml:space="preserve">Lydia </w:t>
            </w:r>
            <w:proofErr w:type="spellStart"/>
            <w:r w:rsidRPr="00AF663E">
              <w:rPr>
                <w:rFonts w:ascii="Calibri" w:hAnsi="Calibri" w:cs="Times New Roman"/>
              </w:rPr>
              <w:t>Llerena</w:t>
            </w:r>
            <w:proofErr w:type="spellEnd"/>
          </w:p>
        </w:tc>
        <w:tc>
          <w:tcPr>
            <w:tcW w:w="283" w:type="dxa"/>
          </w:tcPr>
          <w:p w14:paraId="7DC19A13" w14:textId="3C4C5671"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73" w:type="dxa"/>
          </w:tcPr>
          <w:p w14:paraId="0740B874" w14:textId="77777777" w:rsidR="005E4546" w:rsidRPr="00AF663E" w:rsidRDefault="005E4546" w:rsidP="00D853BC">
            <w:pPr>
              <w:rPr>
                <w:rFonts w:ascii="Calibri" w:hAnsi="Calibri" w:cs="Times New Roman"/>
              </w:rPr>
            </w:pPr>
            <w:r w:rsidRPr="00AF663E">
              <w:rPr>
                <w:rFonts w:ascii="Calibri" w:hAnsi="Calibri" w:cs="Times New Roman"/>
              </w:rPr>
              <w:t xml:space="preserve">Bianca </w:t>
            </w:r>
            <w:proofErr w:type="spellStart"/>
            <w:r w:rsidRPr="00AF663E">
              <w:rPr>
                <w:rFonts w:ascii="Calibri" w:hAnsi="Calibri" w:cs="Times New Roman"/>
              </w:rPr>
              <w:t>Urquidi</w:t>
            </w:r>
            <w:proofErr w:type="spellEnd"/>
          </w:p>
        </w:tc>
        <w:tc>
          <w:tcPr>
            <w:tcW w:w="283" w:type="dxa"/>
          </w:tcPr>
          <w:p w14:paraId="58F0F3C2" w14:textId="4D03E4F7" w:rsidR="005E4546" w:rsidRPr="00AF663E" w:rsidRDefault="005E4546" w:rsidP="00D853BC">
            <w:pPr>
              <w:rPr>
                <w:rFonts w:ascii="Calibri" w:eastAsia="Calibri" w:hAnsi="Calibri" w:cs="Times New Roman"/>
                <w:b/>
              </w:rPr>
            </w:pPr>
          </w:p>
        </w:tc>
        <w:tc>
          <w:tcPr>
            <w:tcW w:w="2248" w:type="dxa"/>
          </w:tcPr>
          <w:p w14:paraId="2EC44D78" w14:textId="77777777" w:rsidR="005E4546" w:rsidRPr="00AF663E" w:rsidRDefault="005E4546" w:rsidP="00D853BC">
            <w:pPr>
              <w:rPr>
                <w:rFonts w:ascii="Calibri" w:hAnsi="Calibri" w:cs="Times New Roman"/>
              </w:rPr>
            </w:pPr>
          </w:p>
        </w:tc>
      </w:tr>
      <w:tr w:rsidR="005E4546" w:rsidRPr="00AF663E" w14:paraId="1E8B6893" w14:textId="77777777" w:rsidTr="00D853BC">
        <w:trPr>
          <w:trHeight w:val="262"/>
        </w:trPr>
        <w:tc>
          <w:tcPr>
            <w:tcW w:w="284" w:type="dxa"/>
          </w:tcPr>
          <w:p w14:paraId="1C310051" w14:textId="35A8ADCA"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86" w:type="dxa"/>
          </w:tcPr>
          <w:p w14:paraId="1EE5DAF3" w14:textId="77777777" w:rsidR="005E4546" w:rsidRPr="00AF663E" w:rsidRDefault="005E4546" w:rsidP="00D853BC">
            <w:pPr>
              <w:rPr>
                <w:rFonts w:ascii="Calibri" w:hAnsi="Calibri" w:cs="Times New Roman"/>
              </w:rPr>
            </w:pPr>
            <w:r w:rsidRPr="00AF663E">
              <w:rPr>
                <w:rFonts w:ascii="Calibri" w:hAnsi="Calibri" w:cs="Times New Roman"/>
              </w:rPr>
              <w:t>Eugene Blackmun</w:t>
            </w:r>
          </w:p>
        </w:tc>
        <w:tc>
          <w:tcPr>
            <w:tcW w:w="283" w:type="dxa"/>
          </w:tcPr>
          <w:p w14:paraId="730D669A" w14:textId="58ECDC4A"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66" w:type="dxa"/>
          </w:tcPr>
          <w:p w14:paraId="64262957" w14:textId="77777777" w:rsidR="005E4546" w:rsidRPr="00AF663E" w:rsidRDefault="005E4546" w:rsidP="00D853BC">
            <w:pPr>
              <w:rPr>
                <w:rFonts w:ascii="Calibri" w:hAnsi="Calibri" w:cs="Times New Roman"/>
              </w:rPr>
            </w:pPr>
            <w:r w:rsidRPr="00AF663E">
              <w:rPr>
                <w:rFonts w:ascii="Calibri" w:hAnsi="Calibri" w:cs="Times New Roman"/>
              </w:rPr>
              <w:t>Cynthia Lewis</w:t>
            </w:r>
          </w:p>
        </w:tc>
        <w:tc>
          <w:tcPr>
            <w:tcW w:w="283" w:type="dxa"/>
          </w:tcPr>
          <w:p w14:paraId="270CD123" w14:textId="579CF08F" w:rsidR="005E4546" w:rsidRPr="00AF663E" w:rsidRDefault="007E144C" w:rsidP="00D853BC">
            <w:pPr>
              <w:rPr>
                <w:rFonts w:ascii="Calibri" w:eastAsia="Calibri" w:hAnsi="Calibri" w:cs="Times New Roman"/>
                <w:b/>
              </w:rPr>
            </w:pPr>
            <w:r>
              <w:rPr>
                <w:rFonts w:ascii="Calibri" w:eastAsia="Calibri" w:hAnsi="Calibri" w:cs="Times New Roman"/>
                <w:b/>
              </w:rPr>
              <w:t>X</w:t>
            </w:r>
          </w:p>
        </w:tc>
        <w:tc>
          <w:tcPr>
            <w:tcW w:w="2173" w:type="dxa"/>
          </w:tcPr>
          <w:p w14:paraId="31C00016" w14:textId="5DA698B5" w:rsidR="005E4546" w:rsidRPr="000B0CA0" w:rsidRDefault="00447A50" w:rsidP="00D853BC">
            <w:pPr>
              <w:rPr>
                <w:rFonts w:ascii="Calibri" w:hAnsi="Calibri" w:cs="Times New Roman"/>
              </w:rPr>
            </w:pPr>
            <w:r>
              <w:rPr>
                <w:rFonts w:ascii="Calibri" w:hAnsi="Calibri" w:cs="Times New Roman"/>
              </w:rPr>
              <w:t>Jenni Tanaka-</w:t>
            </w:r>
            <w:proofErr w:type="spellStart"/>
            <w:r>
              <w:rPr>
                <w:rFonts w:ascii="Calibri" w:hAnsi="Calibri" w:cs="Times New Roman"/>
              </w:rPr>
              <w:t>Hoshijo</w:t>
            </w:r>
            <w:proofErr w:type="spellEnd"/>
          </w:p>
        </w:tc>
        <w:tc>
          <w:tcPr>
            <w:tcW w:w="283" w:type="dxa"/>
          </w:tcPr>
          <w:p w14:paraId="2DD013B3" w14:textId="2973C1AE" w:rsidR="005E4546" w:rsidRPr="00AF663E" w:rsidRDefault="005E4546" w:rsidP="00D853BC">
            <w:pPr>
              <w:rPr>
                <w:rFonts w:ascii="Calibri" w:eastAsia="Calibri" w:hAnsi="Calibri" w:cs="Times New Roman"/>
                <w:b/>
              </w:rPr>
            </w:pPr>
          </w:p>
        </w:tc>
        <w:tc>
          <w:tcPr>
            <w:tcW w:w="2248" w:type="dxa"/>
          </w:tcPr>
          <w:p w14:paraId="22908D5A" w14:textId="77777777" w:rsidR="005E4546" w:rsidRPr="00AF663E" w:rsidRDefault="005E4546" w:rsidP="00D853BC">
            <w:pPr>
              <w:rPr>
                <w:rFonts w:ascii="Calibri" w:hAnsi="Calibri" w:cs="Times New Roman"/>
              </w:rPr>
            </w:pPr>
          </w:p>
        </w:tc>
      </w:tr>
      <w:tr w:rsidR="005E4546" w:rsidRPr="00AF663E" w14:paraId="784942B9" w14:textId="77777777" w:rsidTr="00D853BC">
        <w:trPr>
          <w:trHeight w:val="247"/>
        </w:trPr>
        <w:tc>
          <w:tcPr>
            <w:tcW w:w="284" w:type="dxa"/>
          </w:tcPr>
          <w:p w14:paraId="65378FB0" w14:textId="6F1B3CA8" w:rsidR="005E4546" w:rsidRDefault="00860545" w:rsidP="00D853BC">
            <w:pPr>
              <w:rPr>
                <w:rFonts w:ascii="Calibri" w:eastAsia="Calibri" w:hAnsi="Calibri" w:cs="Times New Roman"/>
                <w:b/>
              </w:rPr>
            </w:pPr>
            <w:r>
              <w:rPr>
                <w:rFonts w:ascii="Calibri" w:eastAsia="Calibri" w:hAnsi="Calibri" w:cs="Times New Roman"/>
                <w:b/>
              </w:rPr>
              <w:t>X</w:t>
            </w:r>
          </w:p>
        </w:tc>
        <w:tc>
          <w:tcPr>
            <w:tcW w:w="2186" w:type="dxa"/>
          </w:tcPr>
          <w:p w14:paraId="1F904D4C" w14:textId="0F915D9C" w:rsidR="005E4546" w:rsidRPr="00AF663E" w:rsidRDefault="007E144C" w:rsidP="00D853BC">
            <w:pPr>
              <w:rPr>
                <w:rFonts w:ascii="Calibri" w:hAnsi="Calibri" w:cs="Times New Roman"/>
              </w:rPr>
            </w:pPr>
            <w:r>
              <w:rPr>
                <w:rFonts w:ascii="Calibri" w:hAnsi="Calibri" w:cs="Times New Roman"/>
              </w:rPr>
              <w:t>Warren Roberts</w:t>
            </w:r>
          </w:p>
        </w:tc>
        <w:tc>
          <w:tcPr>
            <w:tcW w:w="283" w:type="dxa"/>
          </w:tcPr>
          <w:p w14:paraId="7DF227D5" w14:textId="77777777" w:rsidR="005E4546" w:rsidRPr="00AF663E" w:rsidRDefault="005E4546" w:rsidP="00D853BC">
            <w:pPr>
              <w:rPr>
                <w:rFonts w:ascii="Calibri" w:eastAsia="Calibri" w:hAnsi="Calibri" w:cs="Times New Roman"/>
                <w:b/>
              </w:rPr>
            </w:pPr>
          </w:p>
        </w:tc>
        <w:tc>
          <w:tcPr>
            <w:tcW w:w="2166" w:type="dxa"/>
          </w:tcPr>
          <w:p w14:paraId="4DEF24AB" w14:textId="57833EE5" w:rsidR="005E4546" w:rsidRPr="00AF663E" w:rsidRDefault="007E144C" w:rsidP="00D853BC">
            <w:pPr>
              <w:rPr>
                <w:rFonts w:ascii="Calibri" w:hAnsi="Calibri" w:cs="Times New Roman"/>
              </w:rPr>
            </w:pPr>
            <w:r>
              <w:rPr>
                <w:rFonts w:ascii="Calibri" w:hAnsi="Calibri" w:cs="Times New Roman"/>
              </w:rPr>
              <w:t>Michelle Pilati</w:t>
            </w:r>
          </w:p>
        </w:tc>
        <w:tc>
          <w:tcPr>
            <w:tcW w:w="283" w:type="dxa"/>
          </w:tcPr>
          <w:p w14:paraId="6A5E8B8F" w14:textId="77777777" w:rsidR="005E4546" w:rsidRPr="00AF663E" w:rsidRDefault="005E4546" w:rsidP="00D853BC">
            <w:pPr>
              <w:rPr>
                <w:rFonts w:ascii="Calibri" w:eastAsia="Calibri" w:hAnsi="Calibri" w:cs="Times New Roman"/>
                <w:b/>
              </w:rPr>
            </w:pPr>
          </w:p>
        </w:tc>
        <w:tc>
          <w:tcPr>
            <w:tcW w:w="2173" w:type="dxa"/>
          </w:tcPr>
          <w:p w14:paraId="481CEC2D" w14:textId="3A7AEF4D" w:rsidR="005E4546" w:rsidRPr="007616AC" w:rsidRDefault="005E4546" w:rsidP="00D853BC">
            <w:pPr>
              <w:rPr>
                <w:rFonts w:ascii="Calibri" w:hAnsi="Calibri" w:cs="Times New Roman"/>
                <w:strike/>
              </w:rPr>
            </w:pPr>
          </w:p>
        </w:tc>
        <w:tc>
          <w:tcPr>
            <w:tcW w:w="283" w:type="dxa"/>
          </w:tcPr>
          <w:p w14:paraId="189D6486" w14:textId="77777777" w:rsidR="005E4546" w:rsidRPr="00AF663E" w:rsidRDefault="005E4546" w:rsidP="00D853BC">
            <w:pPr>
              <w:rPr>
                <w:rFonts w:ascii="Calibri" w:eastAsia="Calibri" w:hAnsi="Calibri" w:cs="Times New Roman"/>
                <w:b/>
              </w:rPr>
            </w:pPr>
          </w:p>
        </w:tc>
        <w:tc>
          <w:tcPr>
            <w:tcW w:w="2248" w:type="dxa"/>
          </w:tcPr>
          <w:p w14:paraId="69262AEA" w14:textId="77777777" w:rsidR="005E4546" w:rsidRDefault="005E4546" w:rsidP="00D853BC">
            <w:pPr>
              <w:rPr>
                <w:rFonts w:ascii="Calibri" w:hAnsi="Calibri" w:cs="Times New Roman"/>
              </w:rPr>
            </w:pPr>
          </w:p>
        </w:tc>
      </w:tr>
    </w:tbl>
    <w:p w14:paraId="66D721B2" w14:textId="77777777" w:rsidR="005E4546" w:rsidRDefault="005E4546" w:rsidP="00C71650">
      <w:pPr>
        <w:pStyle w:val="NormalWeb"/>
        <w:rPr>
          <w:rFonts w:ascii="Arial" w:hAnsi="Arial" w:cs="Arial"/>
          <w:b/>
          <w:bCs/>
          <w:color w:val="000000"/>
          <w:sz w:val="28"/>
          <w:szCs w:val="28"/>
        </w:rPr>
      </w:pPr>
    </w:p>
    <w:p w14:paraId="731E136C" w14:textId="77777777" w:rsidR="000C1CAA" w:rsidRDefault="000C1CAA" w:rsidP="000C1CAA">
      <w:pPr>
        <w:pStyle w:val="NormalWeb"/>
        <w:rPr>
          <w:rFonts w:ascii="Arial" w:hAnsi="Arial" w:cs="Arial"/>
          <w:b/>
          <w:bCs/>
          <w:color w:val="000000"/>
          <w:sz w:val="28"/>
          <w:szCs w:val="28"/>
        </w:rPr>
      </w:pPr>
      <w:r>
        <w:rPr>
          <w:rFonts w:ascii="Arial" w:hAnsi="Arial" w:cs="Arial"/>
          <w:b/>
          <w:bCs/>
          <w:color w:val="000000"/>
          <w:sz w:val="28"/>
          <w:szCs w:val="28"/>
        </w:rPr>
        <w:t>Distance Education Committee Minutes: February 8th, 2021</w:t>
      </w:r>
    </w:p>
    <w:p w14:paraId="63DC1BD4"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Approval of November 9th, 2020 Meeting Minutes by consensus.  </w:t>
      </w:r>
    </w:p>
    <w:p w14:paraId="0E248F20" w14:textId="77777777" w:rsidR="000C1CAA" w:rsidRPr="00C71650"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2B9382D0" w14:textId="77777777" w:rsidR="000C1CAA" w:rsidRDefault="000C1CAA" w:rsidP="000C1CAA">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problems/updates- no report.</w:t>
      </w:r>
    </w:p>
    <w:p w14:paraId="550E2447"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1A9292E9" w14:textId="77777777" w:rsidR="000C1CAA"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Preparation for the DE ACCJC report- no action needed and right now there are some segments of the report being written but nothing has been asked of DE yet.  </w:t>
      </w:r>
    </w:p>
    <w:p w14:paraId="041AA354" w14:textId="78B141C2" w:rsidR="000C1CAA" w:rsidRPr="00431D14"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2021/2022- During a meeting last semester it was promised that</w:t>
      </w:r>
      <w:r w:rsidR="00F675D9">
        <w:rPr>
          <w:rFonts w:ascii="Arial" w:hAnsi="Arial" w:cs="Arial"/>
          <w:color w:val="000000"/>
          <w:sz w:val="28"/>
          <w:szCs w:val="28"/>
        </w:rPr>
        <w:t xml:space="preserve"> DE Coordinator would be supported at the current 60%. Soft money has been used to prop up </w:t>
      </w:r>
      <w:proofErr w:type="gramStart"/>
      <w:r w:rsidR="00F675D9">
        <w:rPr>
          <w:rFonts w:ascii="Arial" w:hAnsi="Arial" w:cs="Arial"/>
          <w:color w:val="000000"/>
          <w:sz w:val="28"/>
          <w:szCs w:val="28"/>
        </w:rPr>
        <w:t>DE</w:t>
      </w:r>
      <w:proofErr w:type="gramEnd"/>
      <w:r w:rsidR="00F675D9">
        <w:rPr>
          <w:rFonts w:ascii="Arial" w:hAnsi="Arial" w:cs="Arial"/>
          <w:color w:val="000000"/>
          <w:sz w:val="28"/>
          <w:szCs w:val="28"/>
        </w:rPr>
        <w:t xml:space="preserve"> but this needs to be institutionalized.  </w:t>
      </w:r>
      <w:r>
        <w:rPr>
          <w:rFonts w:ascii="Arial" w:hAnsi="Arial" w:cs="Arial"/>
          <w:color w:val="000000"/>
          <w:sz w:val="28"/>
          <w:szCs w:val="28"/>
        </w:rPr>
        <w:t>Jill and Jenni asked about funding for POCR and Grant said nothing was mentioned. A discussion ensued regarding how POCR will continue without funding.  Jenni mentioned that the CVC asked how Rio is compensating faculty who review courses aligning to the OEI Rubric.  Other colleges are funding reviewers</w:t>
      </w:r>
      <w:r w:rsidR="005570AF">
        <w:rPr>
          <w:rFonts w:ascii="Arial" w:hAnsi="Arial" w:cs="Arial"/>
          <w:color w:val="000000"/>
          <w:sz w:val="28"/>
          <w:szCs w:val="28"/>
        </w:rPr>
        <w:t xml:space="preserve"> and multiple coordinator positions</w:t>
      </w:r>
      <w:r>
        <w:rPr>
          <w:rFonts w:ascii="Arial" w:hAnsi="Arial" w:cs="Arial"/>
          <w:color w:val="000000"/>
          <w:sz w:val="28"/>
          <w:szCs w:val="28"/>
        </w:rPr>
        <w:t xml:space="preserve">.  </w:t>
      </w:r>
    </w:p>
    <w:p w14:paraId="0CF88737" w14:textId="77777777" w:rsidR="000C1CAA" w:rsidRDefault="000C1CAA" w:rsidP="000C1CAA">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Pr>
          <w:rFonts w:ascii="Arial" w:hAnsi="Arial" w:cs="Arial"/>
          <w:color w:val="000000"/>
          <w:sz w:val="28"/>
          <w:szCs w:val="28"/>
        </w:rPr>
        <w:t xml:space="preserve"> (Jenni) </w:t>
      </w:r>
      <w:r w:rsidRPr="00431D14">
        <w:rPr>
          <w:rFonts w:ascii="Arial" w:hAnsi="Arial" w:cs="Arial"/>
          <w:color w:val="000000"/>
          <w:sz w:val="28"/>
          <w:szCs w:val="28"/>
        </w:rPr>
        <w:t xml:space="preserve">POCR </w:t>
      </w:r>
    </w:p>
    <w:p w14:paraId="3567F736" w14:textId="438EDAF3" w:rsidR="000C1CAA"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Grant funding ended in December 2020 and there are courses that still need to be sent to the CVC for their approval.  Jenni mentioned that she wanted to thank Scott </w:t>
      </w:r>
      <w:proofErr w:type="spellStart"/>
      <w:r>
        <w:rPr>
          <w:rFonts w:ascii="Arial" w:hAnsi="Arial" w:cs="Arial"/>
          <w:color w:val="000000"/>
          <w:sz w:val="28"/>
          <w:szCs w:val="28"/>
        </w:rPr>
        <w:t>Jaeggi</w:t>
      </w:r>
      <w:proofErr w:type="spellEnd"/>
      <w:r>
        <w:rPr>
          <w:rFonts w:ascii="Arial" w:hAnsi="Arial" w:cs="Arial"/>
          <w:color w:val="000000"/>
          <w:sz w:val="28"/>
          <w:szCs w:val="28"/>
        </w:rPr>
        <w:t xml:space="preserve"> and Tracy Rickman for reviewing section D of the rubric for many courses which allowed for them to be submitted.  She also mentioned that section D on accessibility is very difficult and really should not be done by faculty.  This conversation continues with the CVC.  Jill asked how many total courses were submitted per the grant and Jenni said 3</w:t>
      </w:r>
      <w:r w:rsidR="00F675D9">
        <w:rPr>
          <w:rFonts w:ascii="Arial" w:hAnsi="Arial" w:cs="Arial"/>
          <w:color w:val="000000"/>
          <w:sz w:val="28"/>
          <w:szCs w:val="28"/>
        </w:rPr>
        <w:t>8</w:t>
      </w:r>
      <w:r>
        <w:rPr>
          <w:rFonts w:ascii="Arial" w:hAnsi="Arial" w:cs="Arial"/>
          <w:color w:val="000000"/>
          <w:sz w:val="28"/>
          <w:szCs w:val="28"/>
        </w:rPr>
        <w:t xml:space="preserve"> courses were</w:t>
      </w:r>
      <w:r w:rsidR="00F675D9">
        <w:rPr>
          <w:rFonts w:ascii="Arial" w:hAnsi="Arial" w:cs="Arial"/>
          <w:color w:val="000000"/>
          <w:sz w:val="28"/>
          <w:szCs w:val="28"/>
        </w:rPr>
        <w:t xml:space="preserve"> reviewed from July-</w:t>
      </w:r>
      <w:proofErr w:type="gramStart"/>
      <w:r w:rsidR="00F675D9">
        <w:rPr>
          <w:rFonts w:ascii="Arial" w:hAnsi="Arial" w:cs="Arial"/>
          <w:color w:val="000000"/>
          <w:sz w:val="28"/>
          <w:szCs w:val="28"/>
        </w:rPr>
        <w:t>December,</w:t>
      </w:r>
      <w:proofErr w:type="gramEnd"/>
      <w:r w:rsidR="00F675D9">
        <w:rPr>
          <w:rFonts w:ascii="Arial" w:hAnsi="Arial" w:cs="Arial"/>
          <w:color w:val="000000"/>
          <w:sz w:val="28"/>
          <w:szCs w:val="28"/>
        </w:rPr>
        <w:t xml:space="preserve"> 5 are CVC aligned, 3 others submitted to CVC, 20 ready to be submitted, 10 in local process. All these courses will</w:t>
      </w:r>
      <w:r>
        <w:rPr>
          <w:rFonts w:ascii="Arial" w:hAnsi="Arial" w:cs="Arial"/>
          <w:color w:val="000000"/>
          <w:sz w:val="28"/>
          <w:szCs w:val="28"/>
        </w:rPr>
        <w:t xml:space="preserve"> be a part of many certificates and degrees in the future.  </w:t>
      </w:r>
    </w:p>
    <w:p w14:paraId="7083AF3A" w14:textId="77777777" w:rsidR="000C1CAA" w:rsidRPr="00431D14"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POCR Training and club meetings will continue this semester.  There are 5 faculty interested in the training even though we no longer have the $500 stipends to give.  Currently the club has 17 </w:t>
      </w:r>
      <w:r>
        <w:rPr>
          <w:rFonts w:ascii="Arial" w:hAnsi="Arial" w:cs="Arial"/>
          <w:color w:val="000000"/>
          <w:sz w:val="28"/>
          <w:szCs w:val="28"/>
        </w:rPr>
        <w:lastRenderedPageBreak/>
        <w:t xml:space="preserve">members but only a few of those volunteered to review courses during the grant period. Jenni mentioned that if we give stipends in the future that we create a requirement to review a course.  </w:t>
      </w:r>
    </w:p>
    <w:p w14:paraId="06E63165"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Development</w:t>
      </w:r>
    </w:p>
    <w:p w14:paraId="4801A3C4" w14:textId="77777777" w:rsidR="000C1CAA" w:rsidRPr="00431D14"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November 20</w:t>
      </w:r>
      <w:r w:rsidRPr="004424A2">
        <w:rPr>
          <w:rFonts w:ascii="Arial" w:hAnsi="Arial" w:cs="Arial"/>
          <w:color w:val="000000"/>
          <w:sz w:val="28"/>
          <w:szCs w:val="28"/>
          <w:vertAlign w:val="superscript"/>
        </w:rPr>
        <w:t>th</w:t>
      </w:r>
      <w:r>
        <w:rPr>
          <w:rFonts w:ascii="Arial" w:hAnsi="Arial" w:cs="Arial"/>
          <w:color w:val="000000"/>
          <w:sz w:val="28"/>
          <w:szCs w:val="28"/>
        </w:rPr>
        <w:t xml:space="preserve">, 1pm Senate subcommittee on equity in the online environment met to discuss possible training for equity in the online environment for Rio Hondo.  There was talk of a future Equity Certification and a customized training for Rio Hondo faculty on Equity.  That training did not materialize and so there is now PD money for professional development.  </w:t>
      </w:r>
    </w:p>
    <w:p w14:paraId="01F47943" w14:textId="77777777" w:rsidR="000C1CAA"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PD money offered through Flex $3500- Continue @ONE course funding for equity in the spring semester or funding of POCR training or both?  After discussion on this topic, the committee agreed to use the money to fund continued training with @ONE courses on Equity.  A motion was made by Cynthia and Seconded by Lydia and all members approved to use the $3500 of Flex PD for 11, $300 stipends for @ONE Equity courses. </w:t>
      </w:r>
    </w:p>
    <w:p w14:paraId="1ADCB7C3"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Technology Update (Gary)- mentioned the Online Course Finder problems.  Jill asked if he knew what the problem was, and Gary said he was not sure.  Grant mentioned that there was a glitch in the system when typing in a keyword searches with no home campus selected.  </w:t>
      </w:r>
    </w:p>
    <w:p w14:paraId="20828511"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 not present</w:t>
      </w:r>
    </w:p>
    <w:p w14:paraId="4A37A3C2"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 no report</w:t>
      </w:r>
    </w:p>
    <w:p w14:paraId="5392275C" w14:textId="77777777" w:rsidR="000C1CAA" w:rsidRPr="00FE268D"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28FCE51E" w14:textId="77777777" w:rsidR="000C1CAA" w:rsidRPr="00C71650" w:rsidRDefault="000C1CAA" w:rsidP="000C1CAA">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Jill encouraged faculty to check that their online courses at Rio Hondo are listed and listed correctly. </w:t>
      </w:r>
    </w:p>
    <w:p w14:paraId="08EE6A92" w14:textId="77777777" w:rsidR="000C1CAA" w:rsidRPr="003E52A2"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DSPS/Accessibility report (?)- Removal of this position from committee was mentioned since we don’t have a representative attending any longer. </w:t>
      </w:r>
      <w:r>
        <w:rPr>
          <w:rFonts w:ascii="Arial" w:hAnsi="Arial" w:cs="Arial"/>
          <w:color w:val="000000"/>
          <w:sz w:val="28"/>
          <w:szCs w:val="28"/>
        </w:rPr>
        <w:t xml:space="preserve">That was something Jill stated should be considered by the next DE Coordinator. </w:t>
      </w:r>
    </w:p>
    <w:p w14:paraId="3D7B1F22" w14:textId="77777777" w:rsidR="000C1CAA"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Division Reports- Please share DE Committee info with your divisions! There were no reports and Jill mentioned that we were able to get funding for </w:t>
      </w:r>
      <w:proofErr w:type="spellStart"/>
      <w:r>
        <w:rPr>
          <w:rFonts w:ascii="Arial" w:hAnsi="Arial" w:cs="Arial"/>
          <w:bCs/>
          <w:color w:val="000000"/>
          <w:sz w:val="28"/>
          <w:szCs w:val="28"/>
        </w:rPr>
        <w:t>Proctorio</w:t>
      </w:r>
      <w:proofErr w:type="spellEnd"/>
      <w:r>
        <w:rPr>
          <w:rFonts w:ascii="Arial" w:hAnsi="Arial" w:cs="Arial"/>
          <w:bCs/>
          <w:color w:val="000000"/>
          <w:sz w:val="28"/>
          <w:szCs w:val="28"/>
        </w:rPr>
        <w:t xml:space="preserve"> per the Math/Sciences Division requests. </w:t>
      </w:r>
    </w:p>
    <w:p w14:paraId="376628C1" w14:textId="77777777" w:rsidR="000C1CAA" w:rsidRPr="00431D14" w:rsidRDefault="000C1CAA" w:rsidP="000C1CAA">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65363FF0" w14:textId="3F8D9C71" w:rsidR="000C1CAA" w:rsidRPr="00A677B1" w:rsidRDefault="000C1CAA" w:rsidP="000C1CAA">
      <w:pPr>
        <w:pStyle w:val="NormalWeb"/>
        <w:numPr>
          <w:ilvl w:val="1"/>
          <w:numId w:val="1"/>
        </w:numPr>
        <w:rPr>
          <w:rFonts w:ascii="Arial" w:hAnsi="Arial" w:cs="Arial"/>
          <w:color w:val="000000"/>
          <w:sz w:val="28"/>
          <w:szCs w:val="28"/>
        </w:rPr>
      </w:pPr>
      <w:r w:rsidRPr="00E57782">
        <w:rPr>
          <w:rFonts w:ascii="Arial" w:hAnsi="Arial" w:cs="Arial"/>
          <w:b/>
          <w:color w:val="000000"/>
          <w:sz w:val="28"/>
          <w:szCs w:val="28"/>
        </w:rPr>
        <w:t>Nominations for new DE Coordinator 2021-2023-</w:t>
      </w:r>
      <w:r>
        <w:rPr>
          <w:rFonts w:ascii="Arial" w:hAnsi="Arial" w:cs="Arial"/>
          <w:bCs/>
          <w:color w:val="000000"/>
          <w:sz w:val="28"/>
          <w:szCs w:val="28"/>
        </w:rPr>
        <w:t xml:space="preserve"> voting must take place in March by the committee members.  Announcement of new DE Coordinator in April.  New Coordinator starts at the end of the semester. Nominations were opened and no one from the committee expressed interest in nominating themselves.  A discussion ensued regarding the lack of consistency with funding the DE Coordinator position adequately along with the POCR position.  Jenni asked some questions and said she can’t commit when she didn’t know how POCR was going to be handled.  She said she liked the work she is doing as POCR Director now and believes that funding should be continued.  Jill agreed and said that anyone who might be interested should contact her for more information.  Grant asked Jill if 60% for the DE Coordinator was enough to do the job.  Jill answered that right now the set up with Jenni at 40% and she at 60% was working well and everything was running smoothly.  The coordinator does what they can with the amount of reassigned time that they get.  There is always more training that could be useful for faculty.  She also mentioned that all of the surrounding colleges have recently reorganized their DE Departments and have at least 100% reassigned time.  Chaffey college has 3 coordinators and more than 200% reassigned time and offer weekly training for their faculty.  </w:t>
      </w:r>
      <w:r w:rsidR="00105558">
        <w:rPr>
          <w:rFonts w:ascii="Arial" w:hAnsi="Arial" w:cs="Arial"/>
          <w:bCs/>
          <w:color w:val="000000"/>
          <w:sz w:val="28"/>
          <w:szCs w:val="28"/>
        </w:rPr>
        <w:t xml:space="preserve">Eugene stated that from a business standpoint it would make sense to have adequate funding since DE is growing. He mentioned that he used to work at Cerritos which had a dean of de, their own secretary and coordinator positions. </w:t>
      </w:r>
    </w:p>
    <w:p w14:paraId="6D3FD37E" w14:textId="77777777" w:rsidR="000C1CAA" w:rsidRDefault="000C1CAA" w:rsidP="000C1CAA">
      <w:pPr>
        <w:pStyle w:val="NormalWeb"/>
        <w:numPr>
          <w:ilvl w:val="1"/>
          <w:numId w:val="1"/>
        </w:numPr>
        <w:rPr>
          <w:rFonts w:ascii="Arial" w:hAnsi="Arial" w:cs="Arial"/>
          <w:color w:val="000000"/>
          <w:sz w:val="28"/>
          <w:szCs w:val="28"/>
        </w:rPr>
      </w:pPr>
      <w:r w:rsidRPr="00A677B1">
        <w:rPr>
          <w:rFonts w:ascii="Arial" w:hAnsi="Arial" w:cs="Arial"/>
          <w:bCs/>
          <w:color w:val="000000"/>
          <w:sz w:val="28"/>
          <w:szCs w:val="28"/>
        </w:rPr>
        <w:t>Scott explained some issues that were encountered with part</w:t>
      </w:r>
      <w:r>
        <w:rPr>
          <w:rFonts w:ascii="Arial" w:hAnsi="Arial" w:cs="Arial"/>
          <w:b/>
          <w:color w:val="000000"/>
          <w:sz w:val="28"/>
          <w:szCs w:val="28"/>
        </w:rPr>
        <w:t>-</w:t>
      </w:r>
      <w:r>
        <w:rPr>
          <w:rFonts w:ascii="Arial" w:hAnsi="Arial" w:cs="Arial"/>
          <w:color w:val="000000"/>
          <w:sz w:val="28"/>
          <w:szCs w:val="28"/>
        </w:rPr>
        <w:t>time faculty and load with teaching 4-week online courses at another college. The faculty went over the 67% load due to the nature of the weekly course hours.  Some members discussed 4, 5, and 6-week course offerings at other colleges and there was consensus that Rio should consider these options to remain competitive.</w:t>
      </w:r>
    </w:p>
    <w:p w14:paraId="44A18BE6" w14:textId="77777777" w:rsidR="000C1CAA" w:rsidRPr="00431D14" w:rsidRDefault="000C1CAA" w:rsidP="000C1CAA">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Adam opened up a conversation about having remote instruction in the future if we end up going back to school in the fall or whenever that would be.  He mentioned the lack of classroom space, parking was discussed, and the fact that some students who work may find it more convenient to take remote lecture courses.  There was consensus on this topic, and it will be brought back to the next meeting for further discussion.  </w:t>
      </w:r>
    </w:p>
    <w:p w14:paraId="0480CB9A" w14:textId="77777777" w:rsidR="000C1CAA" w:rsidRDefault="000C1CAA" w:rsidP="000C1CAA">
      <w:pPr>
        <w:pStyle w:val="NormalWeb"/>
        <w:ind w:left="1800"/>
        <w:rPr>
          <w:rFonts w:ascii="Arial" w:hAnsi="Arial" w:cs="Arial"/>
          <w:color w:val="000000"/>
          <w:sz w:val="28"/>
          <w:szCs w:val="28"/>
        </w:rPr>
      </w:pPr>
    </w:p>
    <w:p w14:paraId="5C0F8CA4" w14:textId="77777777" w:rsidR="000C1CAA" w:rsidRPr="00A677B1" w:rsidRDefault="000C1CAA" w:rsidP="000C1CAA">
      <w:pPr>
        <w:pStyle w:val="NormalWeb"/>
        <w:numPr>
          <w:ilvl w:val="0"/>
          <w:numId w:val="1"/>
        </w:numPr>
        <w:rPr>
          <w:rFonts w:ascii="Arial" w:hAnsi="Arial" w:cs="Arial"/>
          <w:color w:val="000000"/>
          <w:sz w:val="20"/>
          <w:szCs w:val="20"/>
        </w:rPr>
      </w:pPr>
      <w:r w:rsidRPr="00A677B1">
        <w:rPr>
          <w:rFonts w:ascii="Arial" w:hAnsi="Arial" w:cs="Arial"/>
          <w:color w:val="000000"/>
          <w:sz w:val="20"/>
          <w:szCs w:val="20"/>
        </w:rPr>
        <w:t>Goals completed for 2019-2020- OEI rubric use section B, POCR Club training and development (adopted in 2019),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5B93442C" w14:textId="77777777" w:rsidR="000C1CAA" w:rsidRPr="00A677B1" w:rsidRDefault="000C1CAA" w:rsidP="000C1CAA">
      <w:pPr>
        <w:pStyle w:val="NormalWeb"/>
        <w:numPr>
          <w:ilvl w:val="0"/>
          <w:numId w:val="1"/>
        </w:numPr>
        <w:rPr>
          <w:rFonts w:ascii="Arial" w:hAnsi="Arial" w:cs="Arial"/>
          <w:color w:val="000000"/>
          <w:sz w:val="20"/>
          <w:szCs w:val="20"/>
        </w:rPr>
      </w:pPr>
      <w:r w:rsidRPr="00A677B1">
        <w:rPr>
          <w:rFonts w:ascii="Arial" w:hAnsi="Arial" w:cs="Arial"/>
          <w:color w:val="000000"/>
          <w:sz w:val="20"/>
          <w:szCs w:val="20"/>
        </w:rPr>
        <w:t xml:space="preserve">Completed Goals for 2020-2021 year- 1. Created a new Peer Online Course Review document to guide faculty in Peer Reviews to include student to student contact. Course guide is an option to adopt from Ready Made Template. (approved 11/9) 2. Update-Use the Peralta College Equity Rubric in the future per request from Angela Rhodes.  Equity meeting on 11/20 at 1pm to discuss campus wide equity and equity in the online environment. (Completed, no action taken) 3.  Redesign of DE page and Senate Faculty Resources pages. (completed) 4. Newsletter sent to VP, President, and BOT members Spring 2020. </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0" w:type="auto"/>
        <w:tblLook w:val="04A0" w:firstRow="1" w:lastRow="0" w:firstColumn="1" w:lastColumn="0" w:noHBand="0" w:noVBand="1"/>
      </w:tblPr>
      <w:tblGrid>
        <w:gridCol w:w="6565"/>
        <w:gridCol w:w="3011"/>
      </w:tblGrid>
      <w:tr w:rsidR="00C71650" w:rsidRPr="00D97F50" w14:paraId="17FE7FF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011"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011"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011"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011"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011"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011"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011"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011"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011"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011"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011"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011"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011"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011"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011"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011"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011"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011"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011"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011"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011"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011"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C71650">
        <w:tc>
          <w:tcPr>
            <w:tcW w:w="6565" w:type="dxa"/>
            <w:tcBorders>
              <w:top w:val="single" w:sz="4" w:space="0" w:color="auto"/>
              <w:left w:val="single" w:sz="4" w:space="0" w:color="auto"/>
              <w:bottom w:val="single" w:sz="4" w:space="0" w:color="auto"/>
              <w:right w:val="single" w:sz="4" w:space="0" w:color="auto"/>
            </w:tcBorders>
            <w:hideMark/>
          </w:tcPr>
          <w:p w14:paraId="3E4B2040" w14:textId="77777777" w:rsidR="00C71650" w:rsidRPr="00D97F50" w:rsidRDefault="00C71650">
            <w:pPr>
              <w:rPr>
                <w:rFonts w:ascii="Arial" w:hAnsi="Arial" w:cs="Arial"/>
                <w:sz w:val="16"/>
                <w:szCs w:val="16"/>
              </w:rPr>
            </w:pPr>
            <w:r w:rsidRPr="00D97F50">
              <w:rPr>
                <w:rFonts w:ascii="Arial" w:hAnsi="Arial" w:cs="Arial"/>
                <w:sz w:val="16"/>
                <w:szCs w:val="16"/>
              </w:rPr>
              <w:t>Faculty Resources Center (FRC)</w:t>
            </w:r>
          </w:p>
        </w:tc>
        <w:tc>
          <w:tcPr>
            <w:tcW w:w="3011" w:type="dxa"/>
            <w:tcBorders>
              <w:top w:val="single" w:sz="4" w:space="0" w:color="auto"/>
              <w:left w:val="single" w:sz="4" w:space="0" w:color="auto"/>
              <w:bottom w:val="single" w:sz="4" w:space="0" w:color="auto"/>
              <w:right w:val="single" w:sz="4" w:space="0" w:color="auto"/>
            </w:tcBorders>
            <w:hideMark/>
          </w:tcPr>
          <w:p w14:paraId="63211356" w14:textId="77777777" w:rsidR="00C71650" w:rsidRPr="00D97F50" w:rsidRDefault="00C71650">
            <w:pPr>
              <w:rPr>
                <w:rFonts w:ascii="Arial" w:hAnsi="Arial" w:cs="Arial"/>
                <w:sz w:val="16"/>
                <w:szCs w:val="16"/>
              </w:rPr>
            </w:pPr>
            <w:r w:rsidRPr="00D97F50">
              <w:rPr>
                <w:rFonts w:ascii="Arial" w:hAnsi="Arial" w:cs="Arial"/>
                <w:sz w:val="16"/>
                <w:szCs w:val="16"/>
              </w:rPr>
              <w:t>New- Commenced Spring 2019</w:t>
            </w:r>
          </w:p>
        </w:tc>
      </w:tr>
    </w:tbl>
    <w:p w14:paraId="38BA8D13" w14:textId="537F022B" w:rsidR="008D7CEC" w:rsidRDefault="008D7CEC" w:rsidP="00C71650">
      <w:pPr>
        <w:rPr>
          <w:sz w:val="16"/>
          <w:szCs w:val="16"/>
        </w:rPr>
      </w:pPr>
    </w:p>
    <w:p w14:paraId="4A83206F" w14:textId="238022FC" w:rsidR="00F00F12" w:rsidRDefault="00F00F12" w:rsidP="00C71650">
      <w:pPr>
        <w:rPr>
          <w:sz w:val="16"/>
          <w:szCs w:val="16"/>
        </w:rPr>
      </w:pPr>
    </w:p>
    <w:p w14:paraId="52934FE6" w14:textId="10864202" w:rsidR="00F00F12" w:rsidRPr="001D5304" w:rsidRDefault="00F00F12" w:rsidP="00F00F12">
      <w:pPr>
        <w:spacing w:after="0" w:line="240" w:lineRule="auto"/>
        <w:rPr>
          <w:rFonts w:ascii="Arial" w:hAnsi="Arial" w:cs="Arial"/>
          <w:sz w:val="24"/>
          <w:szCs w:val="24"/>
        </w:rPr>
      </w:pPr>
      <w:r w:rsidRPr="001D5304">
        <w:rPr>
          <w:rFonts w:ascii="Arial" w:hAnsi="Arial" w:cs="Arial"/>
          <w:sz w:val="24"/>
          <w:szCs w:val="24"/>
        </w:rPr>
        <w:t xml:space="preserve">Meeting Adjourned: </w:t>
      </w:r>
      <w:r>
        <w:rPr>
          <w:rFonts w:ascii="Arial" w:hAnsi="Arial" w:cs="Arial"/>
          <w:sz w:val="24"/>
          <w:szCs w:val="24"/>
        </w:rPr>
        <w:t>2:</w:t>
      </w:r>
      <w:r w:rsidR="00EB7A85">
        <w:rPr>
          <w:rFonts w:ascii="Arial" w:hAnsi="Arial" w:cs="Arial"/>
          <w:sz w:val="24"/>
          <w:szCs w:val="24"/>
        </w:rPr>
        <w:t>36</w:t>
      </w:r>
      <w:r w:rsidRPr="001D5304">
        <w:rPr>
          <w:rFonts w:ascii="Arial" w:hAnsi="Arial" w:cs="Arial"/>
          <w:sz w:val="24"/>
          <w:szCs w:val="24"/>
        </w:rPr>
        <w:t>pm</w:t>
      </w:r>
    </w:p>
    <w:p w14:paraId="786D1ADE" w14:textId="26D14FDB" w:rsidR="00F00F12" w:rsidRPr="000B0892" w:rsidRDefault="00F00F12" w:rsidP="00F00F12">
      <w:pPr>
        <w:spacing w:after="0" w:line="240" w:lineRule="auto"/>
        <w:rPr>
          <w:rFonts w:ascii="Arial" w:hAnsi="Arial" w:cs="Arial"/>
          <w:sz w:val="24"/>
          <w:szCs w:val="24"/>
        </w:rPr>
      </w:pPr>
      <w:r w:rsidRPr="001D5304">
        <w:rPr>
          <w:rFonts w:ascii="Arial" w:hAnsi="Arial" w:cs="Arial"/>
          <w:sz w:val="24"/>
          <w:szCs w:val="24"/>
        </w:rPr>
        <w:t xml:space="preserve">Minutes submitted by </w:t>
      </w:r>
      <w:r w:rsidR="00EB7A85">
        <w:rPr>
          <w:rFonts w:ascii="Arial" w:hAnsi="Arial" w:cs="Arial"/>
          <w:sz w:val="24"/>
          <w:szCs w:val="24"/>
        </w:rPr>
        <w:t>Jill Pfeiffer</w:t>
      </w:r>
    </w:p>
    <w:p w14:paraId="05CADD2A" w14:textId="77777777" w:rsidR="00F00F12" w:rsidRPr="00D97F50" w:rsidRDefault="00F00F12" w:rsidP="00C71650">
      <w:pPr>
        <w:rPr>
          <w:sz w:val="16"/>
          <w:szCs w:val="16"/>
        </w:rPr>
      </w:pPr>
    </w:p>
    <w:sectPr w:rsidR="00F00F12"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BA1F" w14:textId="77777777" w:rsidR="00047D62" w:rsidRDefault="00047D62" w:rsidP="000F68F1">
      <w:pPr>
        <w:spacing w:after="0" w:line="240" w:lineRule="auto"/>
      </w:pPr>
      <w:r>
        <w:separator/>
      </w:r>
    </w:p>
  </w:endnote>
  <w:endnote w:type="continuationSeparator" w:id="0">
    <w:p w14:paraId="0EBD6E01" w14:textId="77777777" w:rsidR="00047D62" w:rsidRDefault="00047D62"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1930" w14:textId="77777777" w:rsidR="00047D62" w:rsidRDefault="00047D62" w:rsidP="000F68F1">
      <w:pPr>
        <w:spacing w:after="0" w:line="240" w:lineRule="auto"/>
      </w:pPr>
      <w:r>
        <w:separator/>
      </w:r>
    </w:p>
  </w:footnote>
  <w:footnote w:type="continuationSeparator" w:id="0">
    <w:p w14:paraId="53EB9B58" w14:textId="77777777" w:rsidR="00047D62" w:rsidRDefault="00047D62"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E9"/>
    <w:rsid w:val="00005C0C"/>
    <w:rsid w:val="00026A63"/>
    <w:rsid w:val="00047D62"/>
    <w:rsid w:val="00071366"/>
    <w:rsid w:val="000A13FC"/>
    <w:rsid w:val="000A7CAF"/>
    <w:rsid w:val="000B5D70"/>
    <w:rsid w:val="000C1CAA"/>
    <w:rsid w:val="000C6CF0"/>
    <w:rsid w:val="000D72F8"/>
    <w:rsid w:val="000E1FF0"/>
    <w:rsid w:val="000E2738"/>
    <w:rsid w:val="000E51FE"/>
    <w:rsid w:val="000F68F1"/>
    <w:rsid w:val="000F6E04"/>
    <w:rsid w:val="00105558"/>
    <w:rsid w:val="00135DCB"/>
    <w:rsid w:val="001667D2"/>
    <w:rsid w:val="00197B1D"/>
    <w:rsid w:val="001A4082"/>
    <w:rsid w:val="001B42C4"/>
    <w:rsid w:val="001D33D2"/>
    <w:rsid w:val="001F6799"/>
    <w:rsid w:val="00210F80"/>
    <w:rsid w:val="00273FFC"/>
    <w:rsid w:val="0027597A"/>
    <w:rsid w:val="00285D5E"/>
    <w:rsid w:val="002F65D0"/>
    <w:rsid w:val="003434C5"/>
    <w:rsid w:val="00386BBC"/>
    <w:rsid w:val="003A2CB0"/>
    <w:rsid w:val="003A5ACE"/>
    <w:rsid w:val="003C3432"/>
    <w:rsid w:val="003F14A0"/>
    <w:rsid w:val="003F4DE9"/>
    <w:rsid w:val="003F5028"/>
    <w:rsid w:val="003F5526"/>
    <w:rsid w:val="004424A2"/>
    <w:rsid w:val="00447A50"/>
    <w:rsid w:val="00465C64"/>
    <w:rsid w:val="00491E61"/>
    <w:rsid w:val="00494116"/>
    <w:rsid w:val="00494454"/>
    <w:rsid w:val="00497177"/>
    <w:rsid w:val="004A4177"/>
    <w:rsid w:val="004A6710"/>
    <w:rsid w:val="004A7378"/>
    <w:rsid w:val="004C3482"/>
    <w:rsid w:val="00501B3F"/>
    <w:rsid w:val="00506ED2"/>
    <w:rsid w:val="005570AF"/>
    <w:rsid w:val="00585788"/>
    <w:rsid w:val="005B0CDE"/>
    <w:rsid w:val="005C62C5"/>
    <w:rsid w:val="005C66E4"/>
    <w:rsid w:val="005E4546"/>
    <w:rsid w:val="00600B74"/>
    <w:rsid w:val="00640FEB"/>
    <w:rsid w:val="00650F2B"/>
    <w:rsid w:val="00655941"/>
    <w:rsid w:val="0069266D"/>
    <w:rsid w:val="006E3A78"/>
    <w:rsid w:val="006E7690"/>
    <w:rsid w:val="00710FD3"/>
    <w:rsid w:val="00723CA5"/>
    <w:rsid w:val="00724ABE"/>
    <w:rsid w:val="00732ED3"/>
    <w:rsid w:val="007828BD"/>
    <w:rsid w:val="0078419A"/>
    <w:rsid w:val="007D1936"/>
    <w:rsid w:val="007E144C"/>
    <w:rsid w:val="007E6525"/>
    <w:rsid w:val="00833F4A"/>
    <w:rsid w:val="00860545"/>
    <w:rsid w:val="00861054"/>
    <w:rsid w:val="0088321A"/>
    <w:rsid w:val="00887BEC"/>
    <w:rsid w:val="00896D41"/>
    <w:rsid w:val="008B6BFD"/>
    <w:rsid w:val="008D7CEC"/>
    <w:rsid w:val="008F0B3C"/>
    <w:rsid w:val="009039F6"/>
    <w:rsid w:val="00946236"/>
    <w:rsid w:val="00947713"/>
    <w:rsid w:val="00970DF2"/>
    <w:rsid w:val="009751C0"/>
    <w:rsid w:val="0099334B"/>
    <w:rsid w:val="009A74BE"/>
    <w:rsid w:val="009F094C"/>
    <w:rsid w:val="009F0A9E"/>
    <w:rsid w:val="009F6F9B"/>
    <w:rsid w:val="00A63F4F"/>
    <w:rsid w:val="00A66C1A"/>
    <w:rsid w:val="00A829AC"/>
    <w:rsid w:val="00A84779"/>
    <w:rsid w:val="00A9370F"/>
    <w:rsid w:val="00A93939"/>
    <w:rsid w:val="00AA04EB"/>
    <w:rsid w:val="00AD268E"/>
    <w:rsid w:val="00AD772E"/>
    <w:rsid w:val="00AD7E79"/>
    <w:rsid w:val="00AE2AC3"/>
    <w:rsid w:val="00AF72E0"/>
    <w:rsid w:val="00B05C41"/>
    <w:rsid w:val="00B2291B"/>
    <w:rsid w:val="00B314D4"/>
    <w:rsid w:val="00B33F71"/>
    <w:rsid w:val="00B75564"/>
    <w:rsid w:val="00B95660"/>
    <w:rsid w:val="00BA2813"/>
    <w:rsid w:val="00BD6E2D"/>
    <w:rsid w:val="00BE5B7E"/>
    <w:rsid w:val="00BE7599"/>
    <w:rsid w:val="00C21CE4"/>
    <w:rsid w:val="00C27671"/>
    <w:rsid w:val="00C71650"/>
    <w:rsid w:val="00C734EE"/>
    <w:rsid w:val="00C94E8F"/>
    <w:rsid w:val="00CA2E18"/>
    <w:rsid w:val="00CE4F8B"/>
    <w:rsid w:val="00CF1C7E"/>
    <w:rsid w:val="00D241D5"/>
    <w:rsid w:val="00D40B33"/>
    <w:rsid w:val="00D631F9"/>
    <w:rsid w:val="00D749B8"/>
    <w:rsid w:val="00D75817"/>
    <w:rsid w:val="00D91338"/>
    <w:rsid w:val="00D970C8"/>
    <w:rsid w:val="00D97F50"/>
    <w:rsid w:val="00DB1F55"/>
    <w:rsid w:val="00DD5382"/>
    <w:rsid w:val="00E24709"/>
    <w:rsid w:val="00E44D29"/>
    <w:rsid w:val="00EA7275"/>
    <w:rsid w:val="00EB7A85"/>
    <w:rsid w:val="00F00F12"/>
    <w:rsid w:val="00F14D9C"/>
    <w:rsid w:val="00F2074E"/>
    <w:rsid w:val="00F45B9D"/>
    <w:rsid w:val="00F609C2"/>
    <w:rsid w:val="00F675D9"/>
    <w:rsid w:val="00F94976"/>
    <w:rsid w:val="00F95A97"/>
    <w:rsid w:val="00FA1C45"/>
    <w:rsid w:val="00FC2FAD"/>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customStyle="1" w:styleId="UnresolvedMention1">
    <w:name w:val="Unresolved Mention1"/>
    <w:basedOn w:val="DefaultParagraphFont"/>
    <w:uiPriority w:val="99"/>
    <w:semiHidden/>
    <w:unhideWhenUsed/>
    <w:rsid w:val="00970DF2"/>
    <w:rPr>
      <w:color w:val="605E5C"/>
      <w:shd w:val="clear" w:color="auto" w:fill="E1DFDD"/>
    </w:rPr>
  </w:style>
  <w:style w:type="table" w:customStyle="1" w:styleId="TableGrid1">
    <w:name w:val="Table Grid1"/>
    <w:basedOn w:val="TableNormal"/>
    <w:next w:val="TableGrid"/>
    <w:uiPriority w:val="39"/>
    <w:rsid w:val="005E4546"/>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1C0B29"/>
    <w:rsid w:val="00222655"/>
    <w:rsid w:val="00234890"/>
    <w:rsid w:val="0031598D"/>
    <w:rsid w:val="0037026E"/>
    <w:rsid w:val="004D0872"/>
    <w:rsid w:val="004D7742"/>
    <w:rsid w:val="00537D87"/>
    <w:rsid w:val="00550B5B"/>
    <w:rsid w:val="00561543"/>
    <w:rsid w:val="0059528B"/>
    <w:rsid w:val="00641B72"/>
    <w:rsid w:val="007B3A33"/>
    <w:rsid w:val="008078D0"/>
    <w:rsid w:val="00865396"/>
    <w:rsid w:val="008704D0"/>
    <w:rsid w:val="00993BA5"/>
    <w:rsid w:val="009D50F9"/>
    <w:rsid w:val="009F58A4"/>
    <w:rsid w:val="00A421D8"/>
    <w:rsid w:val="00A56067"/>
    <w:rsid w:val="00A859F0"/>
    <w:rsid w:val="00B01EFE"/>
    <w:rsid w:val="00C6706D"/>
    <w:rsid w:val="00C72CD1"/>
    <w:rsid w:val="00CA3A74"/>
    <w:rsid w:val="00D337F6"/>
    <w:rsid w:val="00D802F3"/>
    <w:rsid w:val="00DB423E"/>
    <w:rsid w:val="00DC448C"/>
    <w:rsid w:val="00DC4AE5"/>
    <w:rsid w:val="00DF0CDF"/>
    <w:rsid w:val="00E0270E"/>
    <w:rsid w:val="00E05FB3"/>
    <w:rsid w:val="00E37205"/>
    <w:rsid w:val="00E92E4F"/>
    <w:rsid w:val="00EA7A5A"/>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2021-03-01T21:31:00Z</dcterms:created>
  <dcterms:modified xsi:type="dcterms:W3CDTF">2021-03-01T21:31:00Z</dcterms:modified>
</cp:coreProperties>
</file>