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CBF" w14:textId="00F3647F" w:rsidR="00FD2778" w:rsidRDefault="00FC1B73" w:rsidP="00856628">
      <w:pPr>
        <w:pStyle w:val="NoSpacing"/>
        <w:jc w:val="center"/>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w:t>
                      </w:r>
                      <w:proofErr w:type="gramStart"/>
                      <w:r w:rsidRPr="00FD2778">
                        <w:rPr>
                          <w:rFonts w:cstheme="minorHAnsi"/>
                          <w:bCs/>
                          <w:sz w:val="18"/>
                          <w:szCs w:val="18"/>
                        </w:rPr>
                        <w:t>disciplines;</w:t>
                      </w:r>
                      <w:proofErr w:type="gramEnd"/>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w:t>
                      </w:r>
                      <w:proofErr w:type="gramStart"/>
                      <w:r w:rsidRPr="00FD2778">
                        <w:rPr>
                          <w:rFonts w:cstheme="minorHAnsi"/>
                          <w:bCs/>
                          <w:sz w:val="18"/>
                          <w:szCs w:val="18"/>
                        </w:rPr>
                        <w:t>requirements;</w:t>
                      </w:r>
                      <w:proofErr w:type="gramEnd"/>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w:t>
                      </w:r>
                      <w:proofErr w:type="gramStart"/>
                      <w:r w:rsidRPr="00FD2778">
                        <w:rPr>
                          <w:rFonts w:cstheme="minorHAnsi"/>
                          <w:bCs/>
                          <w:sz w:val="18"/>
                          <w:szCs w:val="18"/>
                        </w:rPr>
                        <w:t>policies;</w:t>
                      </w:r>
                      <w:proofErr w:type="gramEnd"/>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w:t>
                      </w:r>
                      <w:proofErr w:type="gramStart"/>
                      <w:r w:rsidRPr="00FD2778">
                        <w:rPr>
                          <w:rFonts w:cstheme="minorHAnsi"/>
                          <w:bCs/>
                          <w:sz w:val="18"/>
                          <w:szCs w:val="18"/>
                        </w:rPr>
                        <w:t>development;</w:t>
                      </w:r>
                      <w:proofErr w:type="gramEnd"/>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w:t>
                      </w:r>
                      <w:proofErr w:type="gramStart"/>
                      <w:r w:rsidRPr="00FD2778">
                        <w:rPr>
                          <w:rFonts w:cstheme="minorHAnsi"/>
                          <w:bCs/>
                          <w:sz w:val="18"/>
                          <w:szCs w:val="18"/>
                        </w:rPr>
                        <w:t>success;</w:t>
                      </w:r>
                      <w:proofErr w:type="gramEnd"/>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w:t>
                      </w:r>
                      <w:proofErr w:type="gramStart"/>
                      <w:r w:rsidRPr="00FD2778">
                        <w:rPr>
                          <w:rFonts w:cstheme="minorHAnsi"/>
                          <w:bCs/>
                          <w:sz w:val="18"/>
                          <w:szCs w:val="18"/>
                        </w:rPr>
                        <w:t>roles;</w:t>
                      </w:r>
                      <w:proofErr w:type="gramEnd"/>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w:t>
                      </w:r>
                      <w:proofErr w:type="gramStart"/>
                      <w:r w:rsidRPr="00FD2778">
                        <w:rPr>
                          <w:rFonts w:cstheme="minorHAnsi"/>
                          <w:bCs/>
                          <w:sz w:val="18"/>
                          <w:szCs w:val="18"/>
                        </w:rPr>
                        <w:t>reports;</w:t>
                      </w:r>
                      <w:proofErr w:type="gramEnd"/>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w:t>
                      </w:r>
                      <w:proofErr w:type="gramStart"/>
                      <w:r w:rsidRPr="00FD2778">
                        <w:rPr>
                          <w:rFonts w:cstheme="minorHAnsi"/>
                          <w:bCs/>
                          <w:sz w:val="18"/>
                          <w:szCs w:val="18"/>
                        </w:rPr>
                        <w:t>activities;</w:t>
                      </w:r>
                      <w:proofErr w:type="gramEnd"/>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w:t>
                      </w:r>
                      <w:proofErr w:type="gramStart"/>
                      <w:r w:rsidRPr="00FD2778">
                        <w:rPr>
                          <w:rFonts w:cstheme="minorHAnsi"/>
                          <w:bCs/>
                          <w:sz w:val="18"/>
                          <w:szCs w:val="18"/>
                        </w:rPr>
                        <w:t>review;</w:t>
                      </w:r>
                      <w:proofErr w:type="gramEnd"/>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856628">
        <w:rPr>
          <w:b/>
          <w:bCs/>
          <w:i/>
          <w:iCs/>
          <w:noProof/>
        </w:rPr>
        <w:drawing>
          <wp:inline distT="0" distB="0" distL="0" distR="0" wp14:anchorId="6D713C28" wp14:editId="2C1DB66E">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4844887" w14:textId="77777777" w:rsidR="00856628" w:rsidRPr="00FD2778" w:rsidRDefault="00856628" w:rsidP="007B5D46">
      <w:pPr>
        <w:pStyle w:val="NoSpacing"/>
        <w:rPr>
          <w:b/>
          <w:bCs/>
          <w:i/>
          <w:iCs/>
        </w:rPr>
      </w:pPr>
    </w:p>
    <w:p w14:paraId="3560E278" w14:textId="60DCF6E3" w:rsidR="00856628" w:rsidRDefault="00856628" w:rsidP="00FD2778">
      <w:pPr>
        <w:pStyle w:val="NoSpacing"/>
        <w:jc w:val="center"/>
      </w:pPr>
      <w:r>
        <w:rPr>
          <w:b/>
          <w:bCs/>
        </w:rPr>
        <w:t xml:space="preserve">Academic Senate </w:t>
      </w:r>
      <w:r w:rsidRPr="00FD2778">
        <w:rPr>
          <w:b/>
          <w:bCs/>
        </w:rPr>
        <w:t>Agenda</w:t>
      </w:r>
    </w:p>
    <w:p w14:paraId="13349AF7" w14:textId="29E0E279" w:rsidR="00FC1B73" w:rsidRDefault="00ED6F71" w:rsidP="00FD2778">
      <w:pPr>
        <w:pStyle w:val="NoSpacing"/>
        <w:jc w:val="center"/>
      </w:pPr>
      <w:r>
        <w:t>Decem</w:t>
      </w:r>
      <w:r w:rsidR="00FD2778">
        <w:t>ber</w:t>
      </w:r>
      <w:r w:rsidR="00FC1B73" w:rsidRPr="00FC1B73">
        <w:t xml:space="preserve"> </w:t>
      </w:r>
      <w:r>
        <w:t>6</w:t>
      </w:r>
      <w:r w:rsidR="00FC1B73" w:rsidRPr="00FC1B73">
        <w:t>, 20</w:t>
      </w:r>
      <w:r w:rsidR="00FD2778">
        <w:t>2</w:t>
      </w:r>
      <w:r w:rsidR="00B92178">
        <w:t>2</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2D6706C3" w14:textId="77777777"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47B4180" w14:textId="444A747F"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sidR="00E43C86">
        <w:rPr>
          <w:rFonts w:ascii="Calibri" w:eastAsia="MS Mincho" w:hAnsi="Calibri" w:cs="Calibri"/>
          <w:bCs/>
        </w:rPr>
        <w:t xml:space="preserve"> from </w:t>
      </w:r>
      <w:r w:rsidR="00ED6F71">
        <w:rPr>
          <w:rFonts w:ascii="Calibri" w:eastAsia="MS Mincho" w:hAnsi="Calibri" w:cs="Calibri"/>
          <w:bCs/>
        </w:rPr>
        <w:t>Novem</w:t>
      </w:r>
      <w:r w:rsidR="00E43C86">
        <w:rPr>
          <w:rFonts w:ascii="Calibri" w:eastAsia="MS Mincho" w:hAnsi="Calibri" w:cs="Calibri"/>
          <w:bCs/>
        </w:rPr>
        <w:t xml:space="preserve">ber </w:t>
      </w:r>
      <w:r w:rsidR="00ED6F71">
        <w:rPr>
          <w:rFonts w:ascii="Calibri" w:eastAsia="MS Mincho" w:hAnsi="Calibri" w:cs="Calibri"/>
          <w:bCs/>
        </w:rPr>
        <w:t>15</w:t>
      </w:r>
      <w:r w:rsidR="00E43C86">
        <w:rPr>
          <w:rFonts w:ascii="Calibri" w:eastAsia="MS Mincho" w:hAnsi="Calibri" w:cs="Calibri"/>
          <w:bCs/>
        </w:rPr>
        <w:t>, 2022</w:t>
      </w:r>
    </w:p>
    <w:p w14:paraId="1E33584A" w14:textId="20648CD1" w:rsidR="00FC1B73" w:rsidRPr="00FC1B73" w:rsidRDefault="00FC1B73" w:rsidP="005E21F0">
      <w:pPr>
        <w:numPr>
          <w:ilvl w:val="0"/>
          <w:numId w:val="8"/>
        </w:numPr>
        <w:tabs>
          <w:tab w:val="center" w:pos="4257"/>
          <w:tab w:val="left" w:pos="5259"/>
        </w:tabs>
        <w:spacing w:after="0"/>
        <w:contextualSpacing/>
        <w:rPr>
          <w:rFonts w:ascii="Calibri" w:eastAsia="MS Mincho" w:hAnsi="Calibri" w:cs="Calibri"/>
          <w:bCs/>
        </w:rPr>
      </w:pPr>
      <w:r w:rsidRPr="00FC1B73">
        <w:rPr>
          <w:rFonts w:ascii="Calibri" w:eastAsia="MS Mincho" w:hAnsi="Calibri" w:cs="Calibri"/>
          <w:bCs/>
        </w:rPr>
        <w:t>Public Comment</w:t>
      </w:r>
      <w:r w:rsidR="0097759F">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6C55EB96" w14:textId="77777777" w:rsidR="005E21F0" w:rsidRPr="003C494F" w:rsidRDefault="005E21F0" w:rsidP="005E21F0">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373BC4B7" w14:textId="77777777" w:rsidR="005E21F0" w:rsidRPr="00A03350" w:rsidRDefault="005E21F0" w:rsidP="005E21F0">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0AF677A0" w14:textId="4AFDBE7D" w:rsidR="005E21F0" w:rsidRPr="001C050C"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1C050C">
        <w:rPr>
          <w:sz w:val="20"/>
          <w:szCs w:val="20"/>
        </w:rPr>
        <w:t>Academic Rank, Frank Sotelo</w:t>
      </w:r>
      <w:r w:rsidR="007D0260">
        <w:rPr>
          <w:sz w:val="20"/>
          <w:szCs w:val="20"/>
        </w:rPr>
        <w:t xml:space="preserve"> (Appendix </w:t>
      </w:r>
      <w:r w:rsidR="00871BE0">
        <w:rPr>
          <w:sz w:val="20"/>
          <w:szCs w:val="20"/>
        </w:rPr>
        <w:t>A</w:t>
      </w:r>
      <w:r w:rsidR="007D0260">
        <w:rPr>
          <w:sz w:val="20"/>
          <w:szCs w:val="20"/>
        </w:rPr>
        <w:t>)</w:t>
      </w:r>
    </w:p>
    <w:p w14:paraId="2C57F21E" w14:textId="1F6E2E1B"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r w:rsidR="00BD2794">
        <w:rPr>
          <w:sz w:val="20"/>
          <w:szCs w:val="20"/>
        </w:rPr>
        <w:t>-No report</w:t>
      </w:r>
    </w:p>
    <w:p w14:paraId="44F03D31" w14:textId="1AA4D34A"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Pfeiffer</w:t>
      </w:r>
    </w:p>
    <w:p w14:paraId="4F6867E7"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p>
    <w:p w14:paraId="7366E05B"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4CBA0249"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Patricia Hughes</w:t>
      </w:r>
    </w:p>
    <w:p w14:paraId="16F694D8"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Sean Hughes</w:t>
      </w:r>
    </w:p>
    <w:p w14:paraId="0CB8F2A5"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2E41650E" w14:textId="77777777" w:rsidR="005E21F0" w:rsidRDefault="005E21F0" w:rsidP="005E21F0">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1DCE9E02" w14:textId="77777777" w:rsidR="005E21F0" w:rsidRPr="0094223E" w:rsidRDefault="005E21F0" w:rsidP="005E21F0">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Facilities, TBD</w:t>
      </w:r>
    </w:p>
    <w:p w14:paraId="1A9076FD" w14:textId="73B43D24" w:rsidR="005E21F0" w:rsidRPr="0094223E" w:rsidRDefault="005E21F0" w:rsidP="005E21F0">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w:t>
      </w:r>
      <w:r w:rsidR="00EA16AC">
        <w:rPr>
          <w:sz w:val="20"/>
          <w:szCs w:val="20"/>
        </w:rPr>
        <w:t>-No report</w:t>
      </w:r>
    </w:p>
    <w:p w14:paraId="33318D98" w14:textId="77777777" w:rsidR="005E21F0" w:rsidRPr="00A03350" w:rsidRDefault="005E21F0" w:rsidP="005E21F0">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0F11D737" w14:textId="201F018D" w:rsidR="005E21F0" w:rsidRPr="00A03350" w:rsidRDefault="005E21F0" w:rsidP="005E21F0">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r w:rsidR="00EA16AC">
        <w:rPr>
          <w:sz w:val="20"/>
          <w:szCs w:val="20"/>
        </w:rPr>
        <w:t xml:space="preserve"> (Appendix </w:t>
      </w:r>
      <w:r w:rsidR="00871BE0">
        <w:rPr>
          <w:sz w:val="20"/>
          <w:szCs w:val="20"/>
        </w:rPr>
        <w:t>B</w:t>
      </w:r>
      <w:r w:rsidR="00EA16AC">
        <w:rPr>
          <w:sz w:val="20"/>
          <w:szCs w:val="20"/>
        </w:rPr>
        <w:t>)</w:t>
      </w:r>
    </w:p>
    <w:p w14:paraId="3A7A0809" w14:textId="2B7FEDBE"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w:t>
      </w:r>
      <w:r w:rsidR="00BD2794">
        <w:rPr>
          <w:rFonts w:ascii="Calibri" w:eastAsia="MS Mincho" w:hAnsi="Calibri" w:cs="Calibri"/>
          <w:bCs/>
          <w:sz w:val="20"/>
          <w:szCs w:val="20"/>
        </w:rPr>
        <w:t>-No report</w:t>
      </w:r>
    </w:p>
    <w:p w14:paraId="76931DCE" w14:textId="77777777" w:rsidR="005E21F0" w:rsidRDefault="005E21F0" w:rsidP="005E21F0">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04EB4E31"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 Colin Young</w:t>
      </w:r>
    </w:p>
    <w:p w14:paraId="52236612" w14:textId="749986CA"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Foundational Skills &amp; Instructional Support, </w:t>
      </w:r>
      <w:r w:rsidR="00871BE0">
        <w:rPr>
          <w:rFonts w:ascii="Calibri" w:eastAsia="MS Mincho" w:hAnsi="Calibri" w:cs="Calibri"/>
          <w:bCs/>
          <w:sz w:val="20"/>
          <w:szCs w:val="20"/>
        </w:rPr>
        <w:t>Tyler Okamoto</w:t>
      </w:r>
    </w:p>
    <w:p w14:paraId="330FAA30"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 TBD</w:t>
      </w:r>
    </w:p>
    <w:p w14:paraId="7B00D19E"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Open Educational Resources Initiative (ASCCC OERI), Sheila Lynch</w:t>
      </w:r>
    </w:p>
    <w:p w14:paraId="6976A6F6" w14:textId="06907986"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Equity, Juana </w:t>
      </w:r>
      <w:r w:rsidRPr="001A4B1D">
        <w:rPr>
          <w:rFonts w:ascii="Calibri" w:eastAsia="MS Mincho" w:hAnsi="Calibri" w:cs="Calibri"/>
          <w:bCs/>
          <w:sz w:val="20"/>
          <w:szCs w:val="20"/>
        </w:rPr>
        <w:t>Mora</w:t>
      </w:r>
    </w:p>
    <w:p w14:paraId="07F02248" w14:textId="38DF26D6" w:rsidR="005E21F0" w:rsidRDefault="005E21F0" w:rsidP="005E21F0">
      <w:pPr>
        <w:pStyle w:val="ListParagraph"/>
        <w:numPr>
          <w:ilvl w:val="2"/>
          <w:numId w:val="8"/>
        </w:numPr>
        <w:tabs>
          <w:tab w:val="center" w:pos="4257"/>
          <w:tab w:val="left" w:pos="5259"/>
        </w:tabs>
        <w:spacing w:after="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w:t>
      </w:r>
      <w:r w:rsidR="00BD2794">
        <w:rPr>
          <w:rFonts w:ascii="Calibri" w:eastAsia="MS Mincho" w:hAnsi="Calibri" w:cs="Calibri"/>
          <w:bCs/>
          <w:sz w:val="20"/>
          <w:szCs w:val="20"/>
        </w:rPr>
        <w:t>-No report</w:t>
      </w:r>
    </w:p>
    <w:p w14:paraId="5D8098C5" w14:textId="24927C4B" w:rsidR="00EF05DE" w:rsidRPr="00D96FEC"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w:t>
      </w:r>
      <w:r w:rsidR="00974BB0">
        <w:rPr>
          <w:rFonts w:ascii="Calibri" w:eastAsia="MS Mincho" w:hAnsi="Calibri" w:cs="Calibri"/>
          <w:bCs/>
        </w:rPr>
        <w:t>’</w:t>
      </w:r>
      <w:r>
        <w:rPr>
          <w:rFonts w:ascii="Calibri" w:eastAsia="MS Mincho" w:hAnsi="Calibri" w:cs="Calibri"/>
          <w:bCs/>
        </w:rPr>
        <w:t>s Report</w:t>
      </w:r>
    </w:p>
    <w:p w14:paraId="13D4BDC5" w14:textId="77777777" w:rsidR="00C865AC" w:rsidRDefault="00C865AC" w:rsidP="00C865A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Volunteer Request: Committee for Faculty Positions (3 needed)</w:t>
      </w:r>
    </w:p>
    <w:p w14:paraId="2745C373" w14:textId="3BC29ABD" w:rsidR="007D729A" w:rsidRDefault="007D729A" w:rsidP="007D729A">
      <w:pPr>
        <w:numPr>
          <w:ilvl w:val="1"/>
          <w:numId w:val="8"/>
        </w:numPr>
        <w:tabs>
          <w:tab w:val="center" w:pos="4257"/>
          <w:tab w:val="left" w:pos="5259"/>
        </w:tabs>
        <w:spacing w:after="200"/>
        <w:contextualSpacing/>
        <w:rPr>
          <w:rFonts w:ascii="Calibri" w:eastAsia="MS Mincho" w:hAnsi="Calibri" w:cs="Calibri"/>
          <w:bCs/>
          <w:sz w:val="20"/>
          <w:szCs w:val="20"/>
        </w:rPr>
      </w:pPr>
      <w:r w:rsidRPr="007D729A">
        <w:rPr>
          <w:rFonts w:ascii="Calibri" w:eastAsia="MS Mincho" w:hAnsi="Calibri" w:cs="Calibri"/>
          <w:bCs/>
          <w:sz w:val="20"/>
          <w:szCs w:val="20"/>
        </w:rPr>
        <w:t xml:space="preserve">Announcement: </w:t>
      </w:r>
      <w:r w:rsidR="00ED6F71">
        <w:rPr>
          <w:rFonts w:ascii="Calibri" w:eastAsia="MS Mincho" w:hAnsi="Calibri" w:cs="Calibri"/>
          <w:bCs/>
          <w:sz w:val="20"/>
          <w:szCs w:val="20"/>
        </w:rPr>
        <w:t>Institutional Research and Planning will be rebranded as Institutional Effectiveness</w:t>
      </w:r>
    </w:p>
    <w:p w14:paraId="7A573A35" w14:textId="50DAF0EA" w:rsidR="00EA16AC" w:rsidRDefault="00EA16AC" w:rsidP="007D729A">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The college will go through a</w:t>
      </w:r>
      <w:r w:rsidR="00871BE0">
        <w:rPr>
          <w:rFonts w:ascii="Calibri" w:eastAsia="MS Mincho" w:hAnsi="Calibri" w:cs="Calibri"/>
          <w:bCs/>
          <w:sz w:val="20"/>
          <w:szCs w:val="20"/>
        </w:rPr>
        <w:t>n inclusive</w:t>
      </w:r>
      <w:r>
        <w:rPr>
          <w:rFonts w:ascii="Calibri" w:eastAsia="MS Mincho" w:hAnsi="Calibri" w:cs="Calibri"/>
          <w:bCs/>
          <w:sz w:val="20"/>
          <w:szCs w:val="20"/>
        </w:rPr>
        <w:t xml:space="preserve"> rebranding process and the RHC website will be updated by September 2023.</w:t>
      </w:r>
    </w:p>
    <w:p w14:paraId="7349CDB8" w14:textId="4E8B24AF" w:rsidR="00EC2ACF" w:rsidRPr="007D729A" w:rsidRDefault="00EC2ACF" w:rsidP="007D729A">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lastRenderedPageBreak/>
        <w:t>Announcement: A request for the Student Equity Plan data to be disaggregated has been submitted. It will be ready for</w:t>
      </w:r>
      <w:r w:rsidR="00D10871">
        <w:rPr>
          <w:rFonts w:ascii="Calibri" w:eastAsia="MS Mincho" w:hAnsi="Calibri" w:cs="Calibri"/>
          <w:bCs/>
          <w:sz w:val="20"/>
          <w:szCs w:val="20"/>
        </w:rPr>
        <w:t xml:space="preserve"> Academic</w:t>
      </w:r>
      <w:r>
        <w:rPr>
          <w:rFonts w:ascii="Calibri" w:eastAsia="MS Mincho" w:hAnsi="Calibri" w:cs="Calibri"/>
          <w:bCs/>
          <w:sz w:val="20"/>
          <w:szCs w:val="20"/>
        </w:rPr>
        <w:t xml:space="preserve"> </w:t>
      </w:r>
      <w:r w:rsidR="00D10871">
        <w:rPr>
          <w:rFonts w:ascii="Calibri" w:eastAsia="MS Mincho" w:hAnsi="Calibri" w:cs="Calibri"/>
          <w:bCs/>
          <w:sz w:val="20"/>
          <w:szCs w:val="20"/>
        </w:rPr>
        <w:t xml:space="preserve">Senate </w:t>
      </w:r>
      <w:r>
        <w:rPr>
          <w:rFonts w:ascii="Calibri" w:eastAsia="MS Mincho" w:hAnsi="Calibri" w:cs="Calibri"/>
          <w:bCs/>
          <w:sz w:val="20"/>
          <w:szCs w:val="20"/>
        </w:rPr>
        <w:t>review in spring.</w:t>
      </w:r>
    </w:p>
    <w:p w14:paraId="36F97BCD" w14:textId="7A591812" w:rsidR="00D96FEC" w:rsidRDefault="000D65E5"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w:t>
      </w:r>
      <w:r w:rsidR="007016A9">
        <w:rPr>
          <w:rFonts w:ascii="Calibri" w:eastAsia="MS Mincho" w:hAnsi="Calibri" w:cs="Calibri"/>
          <w:bCs/>
          <w:sz w:val="20"/>
          <w:szCs w:val="20"/>
        </w:rPr>
        <w:t xml:space="preserve">: </w:t>
      </w:r>
      <w:r w:rsidR="00A71AA8">
        <w:rPr>
          <w:rFonts w:ascii="Calibri" w:eastAsia="MS Mincho" w:hAnsi="Calibri" w:cs="Calibri"/>
          <w:bCs/>
          <w:sz w:val="20"/>
          <w:szCs w:val="20"/>
        </w:rPr>
        <w:t xml:space="preserve">Senate Exec </w:t>
      </w:r>
      <w:r>
        <w:rPr>
          <w:rFonts w:ascii="Calibri" w:eastAsia="MS Mincho" w:hAnsi="Calibri" w:cs="Calibri"/>
          <w:bCs/>
          <w:sz w:val="20"/>
          <w:szCs w:val="20"/>
        </w:rPr>
        <w:t xml:space="preserve">Election </w:t>
      </w:r>
      <w:r w:rsidR="00A71AA8">
        <w:rPr>
          <w:rFonts w:ascii="Calibri" w:eastAsia="MS Mincho" w:hAnsi="Calibri" w:cs="Calibri"/>
          <w:bCs/>
          <w:sz w:val="20"/>
          <w:szCs w:val="20"/>
        </w:rPr>
        <w:t>T</w:t>
      </w:r>
      <w:r>
        <w:rPr>
          <w:rFonts w:ascii="Calibri" w:eastAsia="MS Mincho" w:hAnsi="Calibri" w:cs="Calibri"/>
          <w:bCs/>
          <w:sz w:val="20"/>
          <w:szCs w:val="20"/>
        </w:rPr>
        <w:t>imeline</w:t>
      </w:r>
      <w:r w:rsidR="00A71AA8">
        <w:rPr>
          <w:rFonts w:ascii="Calibri" w:eastAsia="MS Mincho" w:hAnsi="Calibri" w:cs="Calibri"/>
          <w:bCs/>
          <w:sz w:val="20"/>
          <w:szCs w:val="20"/>
        </w:rPr>
        <w:t>; Senator Timeline</w:t>
      </w:r>
    </w:p>
    <w:p w14:paraId="414277CE" w14:textId="1E98EB7C" w:rsidR="00EC2ACF" w:rsidRDefault="00A71AA8" w:rsidP="00152689">
      <w:pPr>
        <w:numPr>
          <w:ilvl w:val="1"/>
          <w:numId w:val="8"/>
        </w:numPr>
        <w:tabs>
          <w:tab w:val="center" w:pos="4257"/>
          <w:tab w:val="left" w:pos="5259"/>
        </w:tabs>
        <w:spacing w:after="200"/>
        <w:contextualSpacing/>
        <w:rPr>
          <w:rFonts w:ascii="Calibri" w:eastAsia="MS Mincho" w:hAnsi="Calibri" w:cs="Calibri"/>
          <w:bCs/>
          <w:sz w:val="20"/>
          <w:szCs w:val="20"/>
        </w:rPr>
      </w:pPr>
      <w:r w:rsidRPr="004A76FA">
        <w:rPr>
          <w:rFonts w:ascii="Calibri" w:eastAsia="MS Mincho" w:hAnsi="Calibri" w:cs="Calibri"/>
          <w:bCs/>
          <w:sz w:val="20"/>
          <w:szCs w:val="20"/>
        </w:rPr>
        <w:t>Announcement: Trauma-Informed Leadership Practices in Education, February 15 and 16, 9am-12:30pm through Zoom</w:t>
      </w:r>
      <w:r w:rsidR="00F62891" w:rsidRPr="004A76FA">
        <w:rPr>
          <w:rFonts w:ascii="Calibri" w:eastAsia="MS Mincho" w:hAnsi="Calibri" w:cs="Calibri"/>
          <w:bCs/>
          <w:sz w:val="20"/>
          <w:szCs w:val="20"/>
        </w:rPr>
        <w:t>; $99/person; $2400 FLEX grant</w:t>
      </w:r>
      <w:r w:rsidR="00EA16AC">
        <w:rPr>
          <w:rFonts w:ascii="Calibri" w:eastAsia="MS Mincho" w:hAnsi="Calibri" w:cs="Calibri"/>
          <w:bCs/>
          <w:sz w:val="20"/>
          <w:szCs w:val="20"/>
        </w:rPr>
        <w:t xml:space="preserve"> application is in process</w:t>
      </w:r>
    </w:p>
    <w:p w14:paraId="19ED5E48" w14:textId="5EEA8FEC" w:rsidR="000D210F" w:rsidRDefault="00EA16AC" w:rsidP="00152689">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0D210F">
        <w:rPr>
          <w:rFonts w:ascii="Calibri" w:eastAsia="MS Mincho" w:hAnsi="Calibri" w:cs="Calibri"/>
          <w:bCs/>
          <w:sz w:val="20"/>
          <w:szCs w:val="20"/>
        </w:rPr>
        <w:t>Human Resources “Right-Sizing”</w:t>
      </w:r>
    </w:p>
    <w:p w14:paraId="5E360534" w14:textId="3620E189" w:rsidR="000D210F" w:rsidRPr="004A76FA" w:rsidRDefault="00EA16AC" w:rsidP="00152689">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0D210F">
        <w:rPr>
          <w:rFonts w:ascii="Calibri" w:eastAsia="MS Mincho" w:hAnsi="Calibri" w:cs="Calibri"/>
          <w:bCs/>
          <w:sz w:val="20"/>
          <w:szCs w:val="20"/>
        </w:rPr>
        <w:t>Student Services “Right-Sizing”</w:t>
      </w:r>
    </w:p>
    <w:p w14:paraId="3FA3D4B6" w14:textId="102A345A" w:rsidR="00D96FEC" w:rsidRP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Vice President</w:t>
      </w:r>
      <w:r w:rsidR="00974BB0">
        <w:rPr>
          <w:rFonts w:ascii="Calibri" w:eastAsia="MS Mincho" w:hAnsi="Calibri" w:cs="Calibri"/>
          <w:bCs/>
        </w:rPr>
        <w:t>’</w:t>
      </w:r>
      <w:r>
        <w:rPr>
          <w:rFonts w:ascii="Calibri" w:eastAsia="MS Mincho" w:hAnsi="Calibri" w:cs="Calibri"/>
          <w:bCs/>
        </w:rPr>
        <w:t>s Report</w:t>
      </w:r>
    </w:p>
    <w:p w14:paraId="74D7D1D9" w14:textId="2CB51A99"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Kelly Lynch</w:t>
      </w:r>
    </w:p>
    <w:p w14:paraId="18A3A9B6" w14:textId="148E0831"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Angelica Martinez</w:t>
      </w:r>
    </w:p>
    <w:p w14:paraId="2AA1A1DE" w14:textId="17794A05" w:rsidR="00D96FEC" w:rsidRPr="000C5E9F"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231967BA" w14:textId="192F74AE" w:rsidR="000C5E9F" w:rsidRDefault="00BD511E" w:rsidP="000C5E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None</w:t>
      </w:r>
    </w:p>
    <w:p w14:paraId="26CAD0D0" w14:textId="77777777" w:rsidR="005E21F0" w:rsidRDefault="005E21F0" w:rsidP="005E21F0">
      <w:pPr>
        <w:numPr>
          <w:ilvl w:val="0"/>
          <w:numId w:val="8"/>
        </w:numPr>
        <w:tabs>
          <w:tab w:val="center" w:pos="4257"/>
          <w:tab w:val="left" w:pos="5259"/>
        </w:tabs>
        <w:spacing w:after="0"/>
        <w:contextualSpacing/>
        <w:rPr>
          <w:rFonts w:ascii="Calibri" w:eastAsia="MS Mincho" w:hAnsi="Calibri" w:cs="Calibri"/>
          <w:bCs/>
        </w:rPr>
      </w:pPr>
      <w:r>
        <w:rPr>
          <w:rFonts w:ascii="Calibri" w:eastAsia="MS Mincho" w:hAnsi="Calibri" w:cs="Calibri"/>
          <w:bCs/>
        </w:rPr>
        <w:t>Guest Report</w:t>
      </w:r>
    </w:p>
    <w:p w14:paraId="401BDE03" w14:textId="58747244" w:rsidR="00095706" w:rsidRDefault="004A76FA" w:rsidP="00095706">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Board of Trustees and Presidential Goals, </w:t>
      </w:r>
      <w:r w:rsidR="00ED6F71">
        <w:rPr>
          <w:rFonts w:ascii="Calibri" w:eastAsia="MS Mincho" w:hAnsi="Calibri" w:cs="Calibri"/>
          <w:bCs/>
          <w:sz w:val="20"/>
          <w:szCs w:val="20"/>
        </w:rPr>
        <w:t>Dr.</w:t>
      </w:r>
      <w:r>
        <w:rPr>
          <w:rFonts w:ascii="Calibri" w:eastAsia="MS Mincho" w:hAnsi="Calibri" w:cs="Calibri"/>
          <w:bCs/>
          <w:sz w:val="20"/>
          <w:szCs w:val="20"/>
        </w:rPr>
        <w:t xml:space="preserve"> Marilyn</w:t>
      </w:r>
      <w:r w:rsidR="00ED6F71">
        <w:rPr>
          <w:rFonts w:ascii="Calibri" w:eastAsia="MS Mincho" w:hAnsi="Calibri" w:cs="Calibri"/>
          <w:bCs/>
          <w:sz w:val="20"/>
          <w:szCs w:val="20"/>
        </w:rPr>
        <w:t xml:space="preserve"> Flores</w:t>
      </w:r>
    </w:p>
    <w:p w14:paraId="6DC3206A" w14:textId="67117BE6" w:rsidR="004A76FA" w:rsidRDefault="004A76FA" w:rsidP="00095706">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FON Update, Dr. Marilyn Flores and Dr. Don Miller</w:t>
      </w:r>
    </w:p>
    <w:p w14:paraId="24CB1A3F" w14:textId="00832BE0" w:rsidR="004A76FA" w:rsidRPr="00095706" w:rsidRDefault="004A76FA" w:rsidP="00095706">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Faculty Hiring Update, Dr. Marilyn Flores and Dr. Don Miller</w:t>
      </w:r>
    </w:p>
    <w:p w14:paraId="1022D10C" w14:textId="10C10ADA" w:rsid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6681EA95" w14:textId="03568861" w:rsidR="00856628" w:rsidRDefault="00856628" w:rsidP="00856628">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 xml:space="preserve">AB361 Motion (Appendix </w:t>
      </w:r>
      <w:r w:rsidR="00871BE0">
        <w:rPr>
          <w:rFonts w:ascii="Calibri" w:eastAsia="MS Mincho" w:hAnsi="Calibri" w:cs="Calibri"/>
          <w:bCs/>
          <w:sz w:val="20"/>
          <w:szCs w:val="20"/>
        </w:rPr>
        <w:t>C</w:t>
      </w:r>
      <w:r>
        <w:rPr>
          <w:rFonts w:ascii="Calibri" w:eastAsia="MS Mincho" w:hAnsi="Calibri" w:cs="Calibri"/>
          <w:bCs/>
          <w:sz w:val="20"/>
          <w:szCs w:val="20"/>
        </w:rPr>
        <w:t>)</w:t>
      </w:r>
    </w:p>
    <w:p w14:paraId="2646C8BD" w14:textId="4124A9A4" w:rsidR="00095706" w:rsidRDefault="00095706" w:rsidP="00856628">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Update: Got 60? Campaign</w:t>
      </w:r>
      <w:r w:rsidR="00C57085">
        <w:rPr>
          <w:rFonts w:ascii="Calibri" w:eastAsia="MS Mincho" w:hAnsi="Calibri" w:cs="Calibri"/>
          <w:bCs/>
          <w:sz w:val="20"/>
          <w:szCs w:val="20"/>
        </w:rPr>
        <w:t>,</w:t>
      </w:r>
      <w:r w:rsidR="00DF3CB2">
        <w:rPr>
          <w:rFonts w:ascii="Calibri" w:eastAsia="MS Mincho" w:hAnsi="Calibri" w:cs="Calibri"/>
          <w:bCs/>
          <w:sz w:val="20"/>
          <w:szCs w:val="20"/>
        </w:rPr>
        <w:t xml:space="preserve"> Dorali Pichardo Diaz</w:t>
      </w:r>
    </w:p>
    <w:p w14:paraId="100E6EFD" w14:textId="075EB521" w:rsidR="00095706" w:rsidRDefault="00095706" w:rsidP="00856628">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 xml:space="preserve">Update: Part-time </w:t>
      </w:r>
      <w:r w:rsidR="003B0B54">
        <w:rPr>
          <w:rFonts w:ascii="Calibri" w:eastAsia="MS Mincho" w:hAnsi="Calibri" w:cs="Calibri"/>
          <w:bCs/>
          <w:sz w:val="20"/>
          <w:szCs w:val="20"/>
        </w:rPr>
        <w:t>S</w:t>
      </w:r>
      <w:r>
        <w:rPr>
          <w:rFonts w:ascii="Calibri" w:eastAsia="MS Mincho" w:hAnsi="Calibri" w:cs="Calibri"/>
          <w:bCs/>
          <w:sz w:val="20"/>
          <w:szCs w:val="20"/>
        </w:rPr>
        <w:t>tudents and</w:t>
      </w:r>
      <w:r w:rsidR="003404CB">
        <w:rPr>
          <w:rFonts w:ascii="Calibri" w:eastAsia="MS Mincho" w:hAnsi="Calibri" w:cs="Calibri"/>
          <w:bCs/>
          <w:sz w:val="20"/>
          <w:szCs w:val="20"/>
        </w:rPr>
        <w:t xml:space="preserve"> Dean’s List</w:t>
      </w:r>
      <w:r>
        <w:rPr>
          <w:rFonts w:ascii="Calibri" w:eastAsia="MS Mincho" w:hAnsi="Calibri" w:cs="Calibri"/>
          <w:bCs/>
          <w:sz w:val="20"/>
          <w:szCs w:val="20"/>
        </w:rPr>
        <w:t xml:space="preserve"> Taskforce</w:t>
      </w:r>
      <w:r w:rsidR="00C57085">
        <w:rPr>
          <w:rFonts w:ascii="Calibri" w:eastAsia="MS Mincho" w:hAnsi="Calibri" w:cs="Calibri"/>
          <w:bCs/>
          <w:sz w:val="20"/>
          <w:szCs w:val="20"/>
        </w:rPr>
        <w:t>,</w:t>
      </w:r>
    </w:p>
    <w:p w14:paraId="06FF5DAA" w14:textId="22E3169C" w:rsidR="00095706" w:rsidRDefault="00095706" w:rsidP="00856628">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Update: Senate Mentor Program</w:t>
      </w:r>
      <w:r w:rsidR="00C57085">
        <w:rPr>
          <w:rFonts w:ascii="Calibri" w:eastAsia="MS Mincho" w:hAnsi="Calibri" w:cs="Calibri"/>
          <w:bCs/>
          <w:sz w:val="20"/>
          <w:szCs w:val="20"/>
        </w:rPr>
        <w:t>, Shari Herzfeld</w:t>
      </w:r>
    </w:p>
    <w:p w14:paraId="151DD852" w14:textId="6C9BE05A"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2FAC599" w14:textId="3C603920"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5B7156C6" w:rsidR="00FD2778" w:rsidRPr="00871BE0" w:rsidRDefault="0020471F" w:rsidP="001B27DE">
      <w:pPr>
        <w:rPr>
          <w:rFonts w:cstheme="minorHAnsi"/>
        </w:rPr>
      </w:pPr>
      <w:r w:rsidRPr="00871BE0">
        <w:rPr>
          <w:rFonts w:cstheme="minorHAnsi"/>
        </w:rPr>
        <w:lastRenderedPageBreak/>
        <w:t xml:space="preserve">  </w:t>
      </w:r>
      <w:r w:rsidRPr="00871BE0">
        <w:rPr>
          <w:rFonts w:cstheme="minorHAnsi"/>
          <w:noProof/>
        </w:rPr>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871BE0" w:rsidRPr="00871BE0">
        <w:rPr>
          <w:rFonts w:cstheme="minorHAnsi"/>
        </w:rPr>
        <w:t>Appendix A</w:t>
      </w:r>
      <w:r w:rsidR="001C6A4A" w:rsidRPr="00871BE0">
        <w:rPr>
          <w:rFonts w:eastAsia="MS Gothic" w:cstheme="minorHAnsi"/>
          <w:bCs/>
        </w:rPr>
        <w:tab/>
      </w:r>
      <w:r w:rsidR="001C6A4A" w:rsidRPr="00871BE0">
        <w:rPr>
          <w:rFonts w:eastAsia="MS Gothic" w:cstheme="minorHAnsi"/>
          <w:bCs/>
        </w:rPr>
        <w:tab/>
      </w:r>
      <w:r w:rsidR="001C6A4A" w:rsidRPr="00871BE0">
        <w:rPr>
          <w:rFonts w:eastAsia="MS Gothic" w:cstheme="minorHAnsi"/>
          <w:bCs/>
        </w:rPr>
        <w:tab/>
      </w:r>
      <w:r w:rsidR="001C6A4A" w:rsidRPr="00871BE0">
        <w:rPr>
          <w:rFonts w:eastAsia="MS Gothic" w:cstheme="minorHAnsi"/>
          <w:bCs/>
        </w:rPr>
        <w:tab/>
      </w:r>
      <w:r w:rsidR="001C6A4A" w:rsidRPr="00871BE0">
        <w:rPr>
          <w:rFonts w:eastAsia="MS Gothic" w:cstheme="minorHAnsi"/>
          <w:bCs/>
        </w:rPr>
        <w:tab/>
      </w:r>
    </w:p>
    <w:p w14:paraId="17D47A39" w14:textId="11F29E2E" w:rsidR="001C6A4A" w:rsidRPr="00871BE0" w:rsidRDefault="007D0260" w:rsidP="001C6A4A">
      <w:pPr>
        <w:tabs>
          <w:tab w:val="center" w:pos="4257"/>
          <w:tab w:val="left" w:pos="5259"/>
        </w:tabs>
        <w:spacing w:after="200"/>
        <w:rPr>
          <w:rFonts w:cstheme="minorHAnsi"/>
          <w:bCs/>
          <w:i/>
          <w:iCs/>
        </w:rPr>
      </w:pPr>
      <w:r w:rsidRPr="00871BE0">
        <w:rPr>
          <w:rFonts w:cstheme="minorHAnsi"/>
          <w:bCs/>
          <w:i/>
          <w:iCs/>
        </w:rPr>
        <w:t>Report: Academic Rank</w:t>
      </w:r>
    </w:p>
    <w:p w14:paraId="2C8D23B0" w14:textId="70FE0A03" w:rsidR="007D0260" w:rsidRPr="00871BE0" w:rsidRDefault="007D0260" w:rsidP="001C6A4A">
      <w:pPr>
        <w:tabs>
          <w:tab w:val="center" w:pos="4257"/>
          <w:tab w:val="left" w:pos="5259"/>
        </w:tabs>
        <w:spacing w:after="200"/>
        <w:rPr>
          <w:rFonts w:cstheme="minorHAnsi"/>
          <w:bCs/>
          <w:i/>
          <w:iCs/>
        </w:rPr>
      </w:pPr>
      <w:r w:rsidRPr="00871BE0">
        <w:rPr>
          <w:rFonts w:cstheme="minorHAnsi"/>
          <w:color w:val="000000"/>
          <w:shd w:val="clear" w:color="auto" w:fill="FFFFFF"/>
        </w:rPr>
        <w:t>Applications are due on Thursday 12/8.  The committee will be meeting on 12/12 to go over application review procedures and start the review process.</w:t>
      </w:r>
    </w:p>
    <w:p w14:paraId="1747B6E7" w14:textId="0948177B" w:rsidR="001C6A4A" w:rsidRPr="00871BE0" w:rsidRDefault="007D0260" w:rsidP="001C6A4A">
      <w:pPr>
        <w:tabs>
          <w:tab w:val="center" w:pos="4257"/>
          <w:tab w:val="left" w:pos="5259"/>
        </w:tabs>
        <w:spacing w:after="200"/>
        <w:rPr>
          <w:rFonts w:cstheme="minorHAnsi"/>
          <w:bCs/>
          <w:i/>
          <w:iCs/>
        </w:rPr>
      </w:pPr>
      <w:r w:rsidRPr="00871BE0">
        <w:rPr>
          <w:rFonts w:cstheme="minorHAnsi"/>
          <w:bCs/>
          <w:i/>
          <w:iCs/>
        </w:rPr>
        <w:t>Submitted by Frank Sotelo</w:t>
      </w:r>
    </w:p>
    <w:p w14:paraId="06A4A8D9" w14:textId="75EE325E" w:rsidR="001C6A4A" w:rsidRPr="00871BE0" w:rsidRDefault="001C6A4A" w:rsidP="001C6A4A">
      <w:pPr>
        <w:tabs>
          <w:tab w:val="center" w:pos="4257"/>
          <w:tab w:val="left" w:pos="5259"/>
        </w:tabs>
        <w:spacing w:after="200"/>
        <w:rPr>
          <w:rFonts w:cstheme="minorHAnsi"/>
          <w:bCs/>
          <w:i/>
          <w:iCs/>
        </w:rPr>
      </w:pPr>
    </w:p>
    <w:p w14:paraId="4E0F406D" w14:textId="3A276E3D" w:rsidR="001C6A4A" w:rsidRPr="00871BE0" w:rsidRDefault="001C6A4A" w:rsidP="001C6A4A">
      <w:pPr>
        <w:tabs>
          <w:tab w:val="center" w:pos="4257"/>
          <w:tab w:val="left" w:pos="5259"/>
        </w:tabs>
        <w:spacing w:after="200"/>
        <w:rPr>
          <w:rFonts w:cstheme="minorHAnsi"/>
          <w:bCs/>
          <w:i/>
          <w:iCs/>
        </w:rPr>
      </w:pPr>
    </w:p>
    <w:p w14:paraId="15BCEF6E" w14:textId="05DFA697" w:rsidR="001C6A4A" w:rsidRDefault="001C6A4A" w:rsidP="001C6A4A">
      <w:pPr>
        <w:tabs>
          <w:tab w:val="center" w:pos="4257"/>
          <w:tab w:val="left" w:pos="5259"/>
        </w:tabs>
        <w:spacing w:after="200"/>
        <w:rPr>
          <w:rFonts w:cstheme="minorHAnsi"/>
          <w:bCs/>
          <w:i/>
          <w:iCs/>
        </w:rPr>
      </w:pPr>
    </w:p>
    <w:p w14:paraId="7006AD45" w14:textId="4B3215AB" w:rsidR="00871BE0" w:rsidRDefault="00871BE0" w:rsidP="001C6A4A">
      <w:pPr>
        <w:tabs>
          <w:tab w:val="center" w:pos="4257"/>
          <w:tab w:val="left" w:pos="5259"/>
        </w:tabs>
        <w:spacing w:after="200"/>
        <w:rPr>
          <w:rFonts w:cstheme="minorHAnsi"/>
          <w:bCs/>
          <w:i/>
          <w:iCs/>
        </w:rPr>
      </w:pPr>
    </w:p>
    <w:p w14:paraId="5B7626A6" w14:textId="5EB58CDD" w:rsidR="00871BE0" w:rsidRDefault="00871BE0" w:rsidP="001C6A4A">
      <w:pPr>
        <w:tabs>
          <w:tab w:val="center" w:pos="4257"/>
          <w:tab w:val="left" w:pos="5259"/>
        </w:tabs>
        <w:spacing w:after="200"/>
        <w:rPr>
          <w:rFonts w:cstheme="minorHAnsi"/>
          <w:bCs/>
          <w:i/>
          <w:iCs/>
        </w:rPr>
      </w:pPr>
    </w:p>
    <w:p w14:paraId="75E9DCF6" w14:textId="27CED20A" w:rsidR="00871BE0" w:rsidRDefault="00871BE0" w:rsidP="001C6A4A">
      <w:pPr>
        <w:tabs>
          <w:tab w:val="center" w:pos="4257"/>
          <w:tab w:val="left" w:pos="5259"/>
        </w:tabs>
        <w:spacing w:after="200"/>
        <w:rPr>
          <w:rFonts w:cstheme="minorHAnsi"/>
          <w:bCs/>
          <w:i/>
          <w:iCs/>
        </w:rPr>
      </w:pPr>
    </w:p>
    <w:p w14:paraId="445C8919" w14:textId="2D045827" w:rsidR="00871BE0" w:rsidRDefault="00871BE0" w:rsidP="001C6A4A">
      <w:pPr>
        <w:tabs>
          <w:tab w:val="center" w:pos="4257"/>
          <w:tab w:val="left" w:pos="5259"/>
        </w:tabs>
        <w:spacing w:after="200"/>
        <w:rPr>
          <w:rFonts w:cstheme="minorHAnsi"/>
          <w:bCs/>
          <w:i/>
          <w:iCs/>
        </w:rPr>
      </w:pPr>
    </w:p>
    <w:p w14:paraId="1AB6A25E" w14:textId="6B7FAD96" w:rsidR="00871BE0" w:rsidRDefault="00871BE0" w:rsidP="001C6A4A">
      <w:pPr>
        <w:tabs>
          <w:tab w:val="center" w:pos="4257"/>
          <w:tab w:val="left" w:pos="5259"/>
        </w:tabs>
        <w:spacing w:after="200"/>
        <w:rPr>
          <w:rFonts w:cstheme="minorHAnsi"/>
          <w:bCs/>
          <w:i/>
          <w:iCs/>
        </w:rPr>
      </w:pPr>
    </w:p>
    <w:p w14:paraId="1C335199" w14:textId="77CE2907" w:rsidR="00871BE0" w:rsidRDefault="00871BE0" w:rsidP="001C6A4A">
      <w:pPr>
        <w:tabs>
          <w:tab w:val="center" w:pos="4257"/>
          <w:tab w:val="left" w:pos="5259"/>
        </w:tabs>
        <w:spacing w:after="200"/>
        <w:rPr>
          <w:rFonts w:cstheme="minorHAnsi"/>
          <w:bCs/>
          <w:i/>
          <w:iCs/>
        </w:rPr>
      </w:pPr>
    </w:p>
    <w:p w14:paraId="3B08F890" w14:textId="62349270" w:rsidR="00871BE0" w:rsidRDefault="00871BE0" w:rsidP="001C6A4A">
      <w:pPr>
        <w:tabs>
          <w:tab w:val="center" w:pos="4257"/>
          <w:tab w:val="left" w:pos="5259"/>
        </w:tabs>
        <w:spacing w:after="200"/>
        <w:rPr>
          <w:rFonts w:cstheme="minorHAnsi"/>
          <w:bCs/>
          <w:i/>
          <w:iCs/>
        </w:rPr>
      </w:pPr>
    </w:p>
    <w:p w14:paraId="15E2C2A2" w14:textId="37518291" w:rsidR="00871BE0" w:rsidRDefault="00871BE0" w:rsidP="001C6A4A">
      <w:pPr>
        <w:tabs>
          <w:tab w:val="center" w:pos="4257"/>
          <w:tab w:val="left" w:pos="5259"/>
        </w:tabs>
        <w:spacing w:after="200"/>
        <w:rPr>
          <w:rFonts w:cstheme="minorHAnsi"/>
          <w:bCs/>
          <w:i/>
          <w:iCs/>
        </w:rPr>
      </w:pPr>
    </w:p>
    <w:p w14:paraId="4D0AB39D" w14:textId="2E997E0E" w:rsidR="00871BE0" w:rsidRDefault="00871BE0" w:rsidP="001C6A4A">
      <w:pPr>
        <w:tabs>
          <w:tab w:val="center" w:pos="4257"/>
          <w:tab w:val="left" w:pos="5259"/>
        </w:tabs>
        <w:spacing w:after="200"/>
        <w:rPr>
          <w:rFonts w:cstheme="minorHAnsi"/>
          <w:bCs/>
          <w:i/>
          <w:iCs/>
        </w:rPr>
      </w:pPr>
    </w:p>
    <w:p w14:paraId="5185A7C4" w14:textId="0F81EB63" w:rsidR="00871BE0" w:rsidRDefault="00871BE0" w:rsidP="001C6A4A">
      <w:pPr>
        <w:tabs>
          <w:tab w:val="center" w:pos="4257"/>
          <w:tab w:val="left" w:pos="5259"/>
        </w:tabs>
        <w:spacing w:after="200"/>
        <w:rPr>
          <w:rFonts w:cstheme="minorHAnsi"/>
          <w:bCs/>
          <w:i/>
          <w:iCs/>
        </w:rPr>
      </w:pPr>
    </w:p>
    <w:p w14:paraId="062FFEFF" w14:textId="7A5641CB" w:rsidR="00871BE0" w:rsidRDefault="00871BE0" w:rsidP="001C6A4A">
      <w:pPr>
        <w:tabs>
          <w:tab w:val="center" w:pos="4257"/>
          <w:tab w:val="left" w:pos="5259"/>
        </w:tabs>
        <w:spacing w:after="200"/>
        <w:rPr>
          <w:rFonts w:cstheme="minorHAnsi"/>
          <w:bCs/>
          <w:i/>
          <w:iCs/>
        </w:rPr>
      </w:pPr>
    </w:p>
    <w:p w14:paraId="5A26FBAF" w14:textId="24925AFE" w:rsidR="00871BE0" w:rsidRDefault="00871BE0" w:rsidP="001C6A4A">
      <w:pPr>
        <w:tabs>
          <w:tab w:val="center" w:pos="4257"/>
          <w:tab w:val="left" w:pos="5259"/>
        </w:tabs>
        <w:spacing w:after="200"/>
        <w:rPr>
          <w:rFonts w:cstheme="minorHAnsi"/>
          <w:bCs/>
          <w:i/>
          <w:iCs/>
        </w:rPr>
      </w:pPr>
    </w:p>
    <w:p w14:paraId="1DB983C3" w14:textId="7100A03C" w:rsidR="00871BE0" w:rsidRDefault="00871BE0" w:rsidP="001C6A4A">
      <w:pPr>
        <w:tabs>
          <w:tab w:val="center" w:pos="4257"/>
          <w:tab w:val="left" w:pos="5259"/>
        </w:tabs>
        <w:spacing w:after="200"/>
        <w:rPr>
          <w:rFonts w:cstheme="minorHAnsi"/>
          <w:bCs/>
          <w:i/>
          <w:iCs/>
        </w:rPr>
      </w:pPr>
    </w:p>
    <w:p w14:paraId="40101A2E" w14:textId="44C91E44" w:rsidR="00871BE0" w:rsidRDefault="00871BE0" w:rsidP="001C6A4A">
      <w:pPr>
        <w:tabs>
          <w:tab w:val="center" w:pos="4257"/>
          <w:tab w:val="left" w:pos="5259"/>
        </w:tabs>
        <w:spacing w:after="200"/>
        <w:rPr>
          <w:rFonts w:cstheme="minorHAnsi"/>
          <w:bCs/>
          <w:i/>
          <w:iCs/>
        </w:rPr>
      </w:pPr>
    </w:p>
    <w:p w14:paraId="729B0272" w14:textId="3FB9D742" w:rsidR="00871BE0" w:rsidRDefault="00871BE0" w:rsidP="001C6A4A">
      <w:pPr>
        <w:tabs>
          <w:tab w:val="center" w:pos="4257"/>
          <w:tab w:val="left" w:pos="5259"/>
        </w:tabs>
        <w:spacing w:after="200"/>
        <w:rPr>
          <w:rFonts w:cstheme="minorHAnsi"/>
          <w:bCs/>
          <w:i/>
          <w:iCs/>
        </w:rPr>
      </w:pPr>
    </w:p>
    <w:p w14:paraId="5783E4F4" w14:textId="79F346A5" w:rsidR="00871BE0" w:rsidRDefault="00871BE0" w:rsidP="001C6A4A">
      <w:pPr>
        <w:tabs>
          <w:tab w:val="center" w:pos="4257"/>
          <w:tab w:val="left" w:pos="5259"/>
        </w:tabs>
        <w:spacing w:after="200"/>
        <w:rPr>
          <w:rFonts w:cstheme="minorHAnsi"/>
          <w:bCs/>
          <w:i/>
          <w:iCs/>
        </w:rPr>
      </w:pPr>
    </w:p>
    <w:p w14:paraId="04EA1843" w14:textId="23B1809B" w:rsidR="00871BE0" w:rsidRDefault="00871BE0" w:rsidP="001C6A4A">
      <w:pPr>
        <w:tabs>
          <w:tab w:val="center" w:pos="4257"/>
          <w:tab w:val="left" w:pos="5259"/>
        </w:tabs>
        <w:spacing w:after="200"/>
        <w:rPr>
          <w:rFonts w:cstheme="minorHAnsi"/>
          <w:bCs/>
          <w:i/>
          <w:iCs/>
        </w:rPr>
      </w:pPr>
    </w:p>
    <w:p w14:paraId="6B9F91F9" w14:textId="63AFEB3A" w:rsidR="00871BE0" w:rsidRDefault="00871BE0" w:rsidP="001C6A4A">
      <w:pPr>
        <w:tabs>
          <w:tab w:val="center" w:pos="4257"/>
          <w:tab w:val="left" w:pos="5259"/>
        </w:tabs>
        <w:spacing w:after="200"/>
        <w:rPr>
          <w:rFonts w:cstheme="minorHAnsi"/>
          <w:bCs/>
          <w:i/>
          <w:iCs/>
        </w:rPr>
      </w:pPr>
    </w:p>
    <w:p w14:paraId="6EDFEDF4" w14:textId="1FB89A56" w:rsidR="00871BE0" w:rsidRDefault="00871BE0" w:rsidP="001C6A4A">
      <w:pPr>
        <w:tabs>
          <w:tab w:val="center" w:pos="4257"/>
          <w:tab w:val="left" w:pos="5259"/>
        </w:tabs>
        <w:spacing w:after="200"/>
        <w:rPr>
          <w:rFonts w:cstheme="minorHAnsi"/>
          <w:bCs/>
          <w:i/>
          <w:iCs/>
        </w:rPr>
      </w:pPr>
    </w:p>
    <w:p w14:paraId="08058FEA" w14:textId="77777777" w:rsidR="00871BE0" w:rsidRPr="00871BE0" w:rsidRDefault="00871BE0" w:rsidP="001C6A4A">
      <w:pPr>
        <w:tabs>
          <w:tab w:val="center" w:pos="4257"/>
          <w:tab w:val="left" w:pos="5259"/>
        </w:tabs>
        <w:spacing w:after="200"/>
        <w:rPr>
          <w:rFonts w:cstheme="minorHAnsi"/>
          <w:bCs/>
          <w:i/>
          <w:iCs/>
        </w:rPr>
      </w:pPr>
    </w:p>
    <w:p w14:paraId="2C8CE58B" w14:textId="78C6D1E3" w:rsidR="001C6A4A" w:rsidRPr="00871BE0" w:rsidRDefault="00871BE0" w:rsidP="001C6A4A">
      <w:pPr>
        <w:tabs>
          <w:tab w:val="center" w:pos="4257"/>
          <w:tab w:val="left" w:pos="5259"/>
        </w:tabs>
        <w:spacing w:after="200"/>
        <w:rPr>
          <w:rFonts w:cstheme="minorHAnsi"/>
          <w:bCs/>
          <w:i/>
          <w:iCs/>
        </w:rPr>
      </w:pPr>
      <w:r w:rsidRPr="00871BE0">
        <w:rPr>
          <w:rFonts w:cstheme="minorHAnsi"/>
          <w:bCs/>
          <w:i/>
          <w:iCs/>
        </w:rPr>
        <w:lastRenderedPageBreak/>
        <w:t>Appendix B</w:t>
      </w:r>
    </w:p>
    <w:p w14:paraId="51703130" w14:textId="425DB605" w:rsidR="001C6A4A" w:rsidRPr="00871BE0" w:rsidRDefault="00EA16AC" w:rsidP="001C6A4A">
      <w:pPr>
        <w:tabs>
          <w:tab w:val="center" w:pos="4257"/>
          <w:tab w:val="left" w:pos="5259"/>
        </w:tabs>
        <w:spacing w:after="200"/>
        <w:rPr>
          <w:rFonts w:cstheme="minorHAnsi"/>
          <w:bCs/>
          <w:i/>
          <w:iCs/>
        </w:rPr>
      </w:pPr>
      <w:r w:rsidRPr="00871BE0">
        <w:rPr>
          <w:rFonts w:cstheme="minorHAnsi"/>
          <w:bCs/>
          <w:i/>
          <w:iCs/>
        </w:rPr>
        <w:t>Report: Program Review</w:t>
      </w:r>
    </w:p>
    <w:p w14:paraId="419512D3" w14:textId="201CC12C" w:rsidR="001C6A4A" w:rsidRPr="00871BE0" w:rsidRDefault="00EA16AC" w:rsidP="001C6A4A">
      <w:pPr>
        <w:tabs>
          <w:tab w:val="center" w:pos="4257"/>
          <w:tab w:val="left" w:pos="5259"/>
        </w:tabs>
        <w:spacing w:after="200"/>
        <w:rPr>
          <w:rFonts w:cstheme="minorHAnsi"/>
          <w:color w:val="242424"/>
          <w:shd w:val="clear" w:color="auto" w:fill="FFFFFF"/>
        </w:rPr>
      </w:pPr>
      <w:r w:rsidRPr="00871BE0">
        <w:rPr>
          <w:rFonts w:cstheme="minorHAnsi"/>
          <w:color w:val="242424"/>
          <w:shd w:val="clear" w:color="auto" w:fill="FFFFFF"/>
        </w:rPr>
        <w:t>Program review peer review meetings will be held during Finals Week. Executive Summaries of the discussions will be sent to the respective committees in early February. Many thanks to all who are participating in the discussions this year. </w:t>
      </w:r>
    </w:p>
    <w:p w14:paraId="0A2B8948" w14:textId="691D0B83" w:rsidR="00EA16AC" w:rsidRPr="00871BE0" w:rsidRDefault="00EA16AC" w:rsidP="001C6A4A">
      <w:pPr>
        <w:tabs>
          <w:tab w:val="center" w:pos="4257"/>
          <w:tab w:val="left" w:pos="5259"/>
        </w:tabs>
        <w:spacing w:after="200"/>
        <w:rPr>
          <w:rFonts w:cstheme="minorHAnsi"/>
          <w:bCs/>
          <w:i/>
          <w:iCs/>
        </w:rPr>
      </w:pPr>
      <w:r w:rsidRPr="00871BE0">
        <w:rPr>
          <w:rFonts w:cstheme="minorHAnsi"/>
          <w:color w:val="242424"/>
          <w:shd w:val="clear" w:color="auto" w:fill="FFFFFF"/>
        </w:rPr>
        <w:t>Submitted by Marie Eckstrom</w:t>
      </w:r>
    </w:p>
    <w:p w14:paraId="0D9D76C3" w14:textId="6CE1BFAC" w:rsidR="001C6A4A" w:rsidRPr="00871BE0" w:rsidRDefault="001C6A4A" w:rsidP="001C6A4A">
      <w:pPr>
        <w:tabs>
          <w:tab w:val="center" w:pos="4257"/>
          <w:tab w:val="left" w:pos="5259"/>
        </w:tabs>
        <w:spacing w:after="200"/>
        <w:rPr>
          <w:rFonts w:cstheme="minorHAnsi"/>
          <w:bCs/>
          <w:i/>
          <w:iCs/>
        </w:rPr>
      </w:pPr>
    </w:p>
    <w:p w14:paraId="2B832977" w14:textId="61DA76FF" w:rsidR="001C6A4A" w:rsidRPr="00871BE0" w:rsidRDefault="001C6A4A" w:rsidP="001C6A4A">
      <w:pPr>
        <w:tabs>
          <w:tab w:val="center" w:pos="4257"/>
          <w:tab w:val="left" w:pos="5259"/>
        </w:tabs>
        <w:spacing w:after="200"/>
        <w:rPr>
          <w:rFonts w:cstheme="minorHAnsi"/>
          <w:bCs/>
          <w:i/>
          <w:iCs/>
        </w:rPr>
      </w:pPr>
    </w:p>
    <w:p w14:paraId="1513FA64" w14:textId="3A799B6E" w:rsidR="001C6A4A" w:rsidRPr="00871BE0" w:rsidRDefault="001C6A4A" w:rsidP="001C6A4A">
      <w:pPr>
        <w:tabs>
          <w:tab w:val="center" w:pos="4257"/>
          <w:tab w:val="left" w:pos="5259"/>
        </w:tabs>
        <w:spacing w:after="200"/>
        <w:rPr>
          <w:rFonts w:cstheme="minorHAnsi"/>
          <w:bCs/>
          <w:i/>
          <w:iCs/>
        </w:rPr>
      </w:pPr>
    </w:p>
    <w:p w14:paraId="664CA147" w14:textId="24D4043A" w:rsidR="001C6A4A" w:rsidRPr="00871BE0" w:rsidRDefault="001C6A4A" w:rsidP="001C6A4A">
      <w:pPr>
        <w:tabs>
          <w:tab w:val="center" w:pos="4257"/>
          <w:tab w:val="left" w:pos="5259"/>
        </w:tabs>
        <w:spacing w:after="200"/>
        <w:rPr>
          <w:rFonts w:cstheme="minorHAnsi"/>
          <w:bCs/>
          <w:i/>
          <w:iCs/>
        </w:rPr>
      </w:pPr>
    </w:p>
    <w:p w14:paraId="74B2D9F8" w14:textId="0C60E214" w:rsidR="001C6A4A" w:rsidRPr="00871BE0" w:rsidRDefault="001C6A4A" w:rsidP="001C6A4A">
      <w:pPr>
        <w:tabs>
          <w:tab w:val="center" w:pos="4257"/>
          <w:tab w:val="left" w:pos="5259"/>
        </w:tabs>
        <w:spacing w:after="200"/>
        <w:rPr>
          <w:rFonts w:cstheme="minorHAnsi"/>
          <w:bCs/>
          <w:i/>
          <w:iCs/>
        </w:rPr>
      </w:pPr>
    </w:p>
    <w:p w14:paraId="7BCDCACA" w14:textId="20E9AA0F" w:rsidR="001C6A4A" w:rsidRPr="00871BE0" w:rsidRDefault="001C6A4A" w:rsidP="001C6A4A">
      <w:pPr>
        <w:tabs>
          <w:tab w:val="center" w:pos="4257"/>
          <w:tab w:val="left" w:pos="5259"/>
        </w:tabs>
        <w:spacing w:after="200"/>
        <w:rPr>
          <w:rFonts w:cstheme="minorHAnsi"/>
          <w:bCs/>
          <w:i/>
          <w:iCs/>
        </w:rPr>
      </w:pPr>
    </w:p>
    <w:p w14:paraId="3F2DD2E6" w14:textId="586EC019" w:rsidR="001C6A4A" w:rsidRDefault="001C6A4A" w:rsidP="001C6A4A">
      <w:pPr>
        <w:tabs>
          <w:tab w:val="center" w:pos="4257"/>
          <w:tab w:val="left" w:pos="5259"/>
        </w:tabs>
        <w:spacing w:after="200"/>
        <w:rPr>
          <w:rFonts w:cstheme="minorHAnsi"/>
          <w:bCs/>
          <w:i/>
          <w:iCs/>
        </w:rPr>
      </w:pPr>
    </w:p>
    <w:p w14:paraId="2BCC72D9" w14:textId="5D5EBAA8" w:rsidR="00871BE0" w:rsidRDefault="00871BE0" w:rsidP="001C6A4A">
      <w:pPr>
        <w:tabs>
          <w:tab w:val="center" w:pos="4257"/>
          <w:tab w:val="left" w:pos="5259"/>
        </w:tabs>
        <w:spacing w:after="200"/>
        <w:rPr>
          <w:rFonts w:cstheme="minorHAnsi"/>
          <w:bCs/>
          <w:i/>
          <w:iCs/>
        </w:rPr>
      </w:pPr>
    </w:p>
    <w:p w14:paraId="162BB858" w14:textId="264BBE5E" w:rsidR="00871BE0" w:rsidRDefault="00871BE0" w:rsidP="001C6A4A">
      <w:pPr>
        <w:tabs>
          <w:tab w:val="center" w:pos="4257"/>
          <w:tab w:val="left" w:pos="5259"/>
        </w:tabs>
        <w:spacing w:after="200"/>
        <w:rPr>
          <w:rFonts w:cstheme="minorHAnsi"/>
          <w:bCs/>
          <w:i/>
          <w:iCs/>
        </w:rPr>
      </w:pPr>
    </w:p>
    <w:p w14:paraId="42D2F10B" w14:textId="3176051E" w:rsidR="00871BE0" w:rsidRDefault="00871BE0" w:rsidP="001C6A4A">
      <w:pPr>
        <w:tabs>
          <w:tab w:val="center" w:pos="4257"/>
          <w:tab w:val="left" w:pos="5259"/>
        </w:tabs>
        <w:spacing w:after="200"/>
        <w:rPr>
          <w:rFonts w:cstheme="minorHAnsi"/>
          <w:bCs/>
          <w:i/>
          <w:iCs/>
        </w:rPr>
      </w:pPr>
    </w:p>
    <w:p w14:paraId="17AF2CBD" w14:textId="36540429" w:rsidR="00871BE0" w:rsidRDefault="00871BE0" w:rsidP="001C6A4A">
      <w:pPr>
        <w:tabs>
          <w:tab w:val="center" w:pos="4257"/>
          <w:tab w:val="left" w:pos="5259"/>
        </w:tabs>
        <w:spacing w:after="200"/>
        <w:rPr>
          <w:rFonts w:cstheme="minorHAnsi"/>
          <w:bCs/>
          <w:i/>
          <w:iCs/>
        </w:rPr>
      </w:pPr>
    </w:p>
    <w:p w14:paraId="503066E5" w14:textId="6BE83C66" w:rsidR="00871BE0" w:rsidRDefault="00871BE0" w:rsidP="001C6A4A">
      <w:pPr>
        <w:tabs>
          <w:tab w:val="center" w:pos="4257"/>
          <w:tab w:val="left" w:pos="5259"/>
        </w:tabs>
        <w:spacing w:after="200"/>
        <w:rPr>
          <w:rFonts w:cstheme="minorHAnsi"/>
          <w:bCs/>
          <w:i/>
          <w:iCs/>
        </w:rPr>
      </w:pPr>
    </w:p>
    <w:p w14:paraId="476213C2" w14:textId="189CD950" w:rsidR="00871BE0" w:rsidRDefault="00871BE0" w:rsidP="001C6A4A">
      <w:pPr>
        <w:tabs>
          <w:tab w:val="center" w:pos="4257"/>
          <w:tab w:val="left" w:pos="5259"/>
        </w:tabs>
        <w:spacing w:after="200"/>
        <w:rPr>
          <w:rFonts w:cstheme="minorHAnsi"/>
          <w:bCs/>
          <w:i/>
          <w:iCs/>
        </w:rPr>
      </w:pPr>
    </w:p>
    <w:p w14:paraId="544991C0" w14:textId="25695BBA" w:rsidR="00871BE0" w:rsidRDefault="00871BE0" w:rsidP="001C6A4A">
      <w:pPr>
        <w:tabs>
          <w:tab w:val="center" w:pos="4257"/>
          <w:tab w:val="left" w:pos="5259"/>
        </w:tabs>
        <w:spacing w:after="200"/>
        <w:rPr>
          <w:rFonts w:cstheme="minorHAnsi"/>
          <w:bCs/>
          <w:i/>
          <w:iCs/>
        </w:rPr>
      </w:pPr>
    </w:p>
    <w:p w14:paraId="55F0B467" w14:textId="0E45B85A" w:rsidR="00871BE0" w:rsidRDefault="00871BE0" w:rsidP="001C6A4A">
      <w:pPr>
        <w:tabs>
          <w:tab w:val="center" w:pos="4257"/>
          <w:tab w:val="left" w:pos="5259"/>
        </w:tabs>
        <w:spacing w:after="200"/>
        <w:rPr>
          <w:rFonts w:cstheme="minorHAnsi"/>
          <w:bCs/>
          <w:i/>
          <w:iCs/>
        </w:rPr>
      </w:pPr>
    </w:p>
    <w:p w14:paraId="23BDFB83" w14:textId="4A668783" w:rsidR="00871BE0" w:rsidRDefault="00871BE0" w:rsidP="001C6A4A">
      <w:pPr>
        <w:tabs>
          <w:tab w:val="center" w:pos="4257"/>
          <w:tab w:val="left" w:pos="5259"/>
        </w:tabs>
        <w:spacing w:after="200"/>
        <w:rPr>
          <w:rFonts w:cstheme="minorHAnsi"/>
          <w:bCs/>
          <w:i/>
          <w:iCs/>
        </w:rPr>
      </w:pPr>
    </w:p>
    <w:p w14:paraId="5A698BE6" w14:textId="1E28D232" w:rsidR="00871BE0" w:rsidRDefault="00871BE0" w:rsidP="001C6A4A">
      <w:pPr>
        <w:tabs>
          <w:tab w:val="center" w:pos="4257"/>
          <w:tab w:val="left" w:pos="5259"/>
        </w:tabs>
        <w:spacing w:after="200"/>
        <w:rPr>
          <w:rFonts w:cstheme="minorHAnsi"/>
          <w:bCs/>
          <w:i/>
          <w:iCs/>
        </w:rPr>
      </w:pPr>
    </w:p>
    <w:p w14:paraId="1F148143" w14:textId="70AFAA8C" w:rsidR="00871BE0" w:rsidRDefault="00871BE0" w:rsidP="001C6A4A">
      <w:pPr>
        <w:tabs>
          <w:tab w:val="center" w:pos="4257"/>
          <w:tab w:val="left" w:pos="5259"/>
        </w:tabs>
        <w:spacing w:after="200"/>
        <w:rPr>
          <w:rFonts w:cstheme="minorHAnsi"/>
          <w:bCs/>
          <w:i/>
          <w:iCs/>
        </w:rPr>
      </w:pPr>
    </w:p>
    <w:p w14:paraId="1E2EBA71" w14:textId="01B34504" w:rsidR="00871BE0" w:rsidRDefault="00871BE0" w:rsidP="001C6A4A">
      <w:pPr>
        <w:tabs>
          <w:tab w:val="center" w:pos="4257"/>
          <w:tab w:val="left" w:pos="5259"/>
        </w:tabs>
        <w:spacing w:after="200"/>
        <w:rPr>
          <w:rFonts w:cstheme="minorHAnsi"/>
          <w:bCs/>
          <w:i/>
          <w:iCs/>
        </w:rPr>
      </w:pPr>
    </w:p>
    <w:p w14:paraId="556B5443" w14:textId="118C75D2" w:rsidR="00871BE0" w:rsidRDefault="00871BE0" w:rsidP="001C6A4A">
      <w:pPr>
        <w:tabs>
          <w:tab w:val="center" w:pos="4257"/>
          <w:tab w:val="left" w:pos="5259"/>
        </w:tabs>
        <w:spacing w:after="200"/>
        <w:rPr>
          <w:rFonts w:cstheme="minorHAnsi"/>
          <w:bCs/>
          <w:i/>
          <w:iCs/>
        </w:rPr>
      </w:pPr>
    </w:p>
    <w:p w14:paraId="5490BDD9" w14:textId="4FD00F63" w:rsidR="00871BE0" w:rsidRDefault="00871BE0" w:rsidP="001C6A4A">
      <w:pPr>
        <w:tabs>
          <w:tab w:val="center" w:pos="4257"/>
          <w:tab w:val="left" w:pos="5259"/>
        </w:tabs>
        <w:spacing w:after="200"/>
        <w:rPr>
          <w:rFonts w:cstheme="minorHAnsi"/>
          <w:bCs/>
          <w:i/>
          <w:iCs/>
        </w:rPr>
      </w:pPr>
    </w:p>
    <w:p w14:paraId="7BEB35D5" w14:textId="77777777" w:rsidR="00871BE0" w:rsidRPr="00871BE0" w:rsidRDefault="00871BE0" w:rsidP="001C6A4A">
      <w:pPr>
        <w:tabs>
          <w:tab w:val="center" w:pos="4257"/>
          <w:tab w:val="left" w:pos="5259"/>
        </w:tabs>
        <w:spacing w:after="200"/>
        <w:rPr>
          <w:rFonts w:cstheme="minorHAnsi"/>
          <w:bCs/>
          <w:i/>
          <w:iCs/>
        </w:rPr>
      </w:pPr>
    </w:p>
    <w:p w14:paraId="013A2451" w14:textId="7FC44FAD" w:rsidR="00856628" w:rsidRPr="00871BE0" w:rsidRDefault="00856628" w:rsidP="00856628">
      <w:pPr>
        <w:rPr>
          <w:rFonts w:cstheme="minorHAnsi"/>
          <w:b/>
          <w:bCs/>
        </w:rPr>
      </w:pPr>
      <w:r w:rsidRPr="00871BE0">
        <w:rPr>
          <w:rFonts w:cstheme="minorHAnsi"/>
          <w:b/>
          <w:bCs/>
        </w:rPr>
        <w:lastRenderedPageBreak/>
        <w:t xml:space="preserve">Appendix </w:t>
      </w:r>
      <w:r w:rsidR="00871BE0" w:rsidRPr="00871BE0">
        <w:rPr>
          <w:rFonts w:cstheme="minorHAnsi"/>
          <w:b/>
          <w:bCs/>
        </w:rPr>
        <w:t>C</w:t>
      </w:r>
    </w:p>
    <w:p w14:paraId="2E8FD8C5"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bdr w:val="none" w:sz="0" w:space="0" w:color="auto" w:frame="1"/>
        </w:rPr>
        <w:t>Pursuant to </w:t>
      </w:r>
      <w:hyperlink r:id="rId7" w:history="1">
        <w:r w:rsidRPr="00871BE0">
          <w:rPr>
            <w:rStyle w:val="Strong"/>
            <w:rFonts w:asciiTheme="minorHAnsi" w:hAnsiTheme="minorHAnsi" w:cstheme="minorHAnsi"/>
            <w:color w:val="0000FF"/>
            <w:sz w:val="22"/>
            <w:szCs w:val="22"/>
            <w:u w:val="single"/>
            <w:bdr w:val="none" w:sz="0" w:space="0" w:color="auto" w:frame="1"/>
          </w:rPr>
          <w:t>Assembly Bill 361</w:t>
        </w:r>
      </w:hyperlink>
      <w:r w:rsidRPr="00871BE0">
        <w:rPr>
          <w:rFonts w:asciiTheme="minorHAnsi" w:hAnsiTheme="minorHAnsi" w:cstheme="minorHAnsi"/>
          <w:color w:val="333333"/>
          <w:sz w:val="22"/>
          <w:szCs w:val="22"/>
          <w:bdr w:val="none" w:sz="0" w:space="0" w:color="auto" w:frame="1"/>
        </w:rPr>
        <w:t>, if this committee reaches consensus that meeting in-person during the state of emergency would present imminent risks to the health or safety of attendees, the committee will be permitted to meet via remote teleconference under the provisions of AB 361 for a maximum period of 30 days. After 30 days, the committee will need to reconsider the items below and again reach consensus if it desires to continue meeting under the modified Brown Act requirements.</w:t>
      </w:r>
    </w:p>
    <w:p w14:paraId="5F7BD0E3"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rPr>
        <w:t> </w:t>
      </w:r>
    </w:p>
    <w:p w14:paraId="2C097935"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bdr w:val="none" w:sz="0" w:space="0" w:color="auto" w:frame="1"/>
        </w:rPr>
        <w:t>In order to renew the resolution, the committee must:</w:t>
      </w:r>
    </w:p>
    <w:p w14:paraId="027BB53B"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rPr>
        <w:t> </w:t>
      </w:r>
    </w:p>
    <w:p w14:paraId="5EE45D24"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bdr w:val="none" w:sz="0" w:space="0" w:color="auto" w:frame="1"/>
        </w:rPr>
        <w:t>1) Reconsider the circumstances of the state of emergency; and</w:t>
      </w:r>
    </w:p>
    <w:p w14:paraId="79D61D92"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bdr w:val="none" w:sz="0" w:space="0" w:color="auto" w:frame="1"/>
        </w:rPr>
        <w:t>2) Determine that the state of emergency continues to directly impact the ability of the members to meet safely in person.</w:t>
      </w:r>
    </w:p>
    <w:p w14:paraId="263965AC"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rPr>
        <w:t> </w:t>
      </w:r>
    </w:p>
    <w:p w14:paraId="02FE463D" w14:textId="77777777" w:rsidR="00856628" w:rsidRPr="00871BE0" w:rsidRDefault="00856628" w:rsidP="00856628">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Style w:val="Strong"/>
          <w:rFonts w:asciiTheme="minorHAnsi" w:hAnsiTheme="minorHAnsi" w:cstheme="minorHAnsi"/>
          <w:i/>
          <w:iCs/>
          <w:color w:val="FF0000"/>
          <w:sz w:val="22"/>
          <w:szCs w:val="22"/>
          <w:bdr w:val="none" w:sz="0" w:space="0" w:color="auto" w:frame="1"/>
        </w:rPr>
        <w:t>It is recommended that the committee authorize remote teleconference meetings pursuant to AB 361.</w:t>
      </w:r>
    </w:p>
    <w:p w14:paraId="37A55DDF" w14:textId="06507E70" w:rsidR="00155388" w:rsidRPr="00871BE0" w:rsidRDefault="00856628" w:rsidP="004A76FA">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rPr>
        <w:t> </w:t>
      </w:r>
    </w:p>
    <w:sectPr w:rsidR="00155388" w:rsidRPr="00871BE0"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3"/>
  </w:num>
  <w:num w:numId="3" w16cid:durableId="1356730277">
    <w:abstractNumId w:val="5"/>
  </w:num>
  <w:num w:numId="4" w16cid:durableId="452938999">
    <w:abstractNumId w:val="3"/>
    <w:lvlOverride w:ilvl="0">
      <w:startOverride w:val="1"/>
    </w:lvlOverride>
    <w:lvlOverride w:ilvl="1">
      <w:startOverride w:val="1"/>
    </w:lvlOverride>
  </w:num>
  <w:num w:numId="5" w16cid:durableId="603347448">
    <w:abstractNumId w:val="3"/>
    <w:lvlOverride w:ilvl="0">
      <w:startOverride w:val="1"/>
    </w:lvlOverride>
    <w:lvlOverride w:ilvl="1">
      <w:startOverride w:val="1"/>
    </w:lvlOverride>
  </w:num>
  <w:num w:numId="6" w16cid:durableId="1797988519">
    <w:abstractNumId w:val="3"/>
    <w:lvlOverride w:ilvl="0">
      <w:startOverride w:val="1"/>
    </w:lvlOverride>
    <w:lvlOverride w:ilvl="1">
      <w:startOverride w:val="1"/>
    </w:lvlOverride>
  </w:num>
  <w:num w:numId="7" w16cid:durableId="2128043638">
    <w:abstractNumId w:val="2"/>
  </w:num>
  <w:num w:numId="8" w16cid:durableId="1178690589">
    <w:abstractNumId w:val="1"/>
  </w:num>
  <w:num w:numId="9" w16cid:durableId="96655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61339"/>
    <w:rsid w:val="00095706"/>
    <w:rsid w:val="000B2290"/>
    <w:rsid w:val="000B3575"/>
    <w:rsid w:val="000B3BB4"/>
    <w:rsid w:val="000C5E9F"/>
    <w:rsid w:val="000D210F"/>
    <w:rsid w:val="000D65E5"/>
    <w:rsid w:val="00113A6F"/>
    <w:rsid w:val="001178E3"/>
    <w:rsid w:val="00152C16"/>
    <w:rsid w:val="00155388"/>
    <w:rsid w:val="001A4B1D"/>
    <w:rsid w:val="001B27DE"/>
    <w:rsid w:val="001C050C"/>
    <w:rsid w:val="001C6A4A"/>
    <w:rsid w:val="001D17B2"/>
    <w:rsid w:val="001E4BD9"/>
    <w:rsid w:val="0020471F"/>
    <w:rsid w:val="00245C54"/>
    <w:rsid w:val="00255D75"/>
    <w:rsid w:val="002803D1"/>
    <w:rsid w:val="002A7A15"/>
    <w:rsid w:val="002B70FF"/>
    <w:rsid w:val="003404CB"/>
    <w:rsid w:val="00341839"/>
    <w:rsid w:val="003467AA"/>
    <w:rsid w:val="003508C8"/>
    <w:rsid w:val="003B0B54"/>
    <w:rsid w:val="003C494F"/>
    <w:rsid w:val="003D4034"/>
    <w:rsid w:val="003E2006"/>
    <w:rsid w:val="00485AE0"/>
    <w:rsid w:val="00495CCF"/>
    <w:rsid w:val="004A76FA"/>
    <w:rsid w:val="004F555D"/>
    <w:rsid w:val="00517926"/>
    <w:rsid w:val="005375C2"/>
    <w:rsid w:val="00554CD9"/>
    <w:rsid w:val="0059592F"/>
    <w:rsid w:val="005B0591"/>
    <w:rsid w:val="005C41B7"/>
    <w:rsid w:val="005D6209"/>
    <w:rsid w:val="005E21F0"/>
    <w:rsid w:val="00655209"/>
    <w:rsid w:val="006741DE"/>
    <w:rsid w:val="006A2FF2"/>
    <w:rsid w:val="006E1A70"/>
    <w:rsid w:val="007016A9"/>
    <w:rsid w:val="00793B68"/>
    <w:rsid w:val="007B5D46"/>
    <w:rsid w:val="007D0260"/>
    <w:rsid w:val="007D729A"/>
    <w:rsid w:val="00853DC9"/>
    <w:rsid w:val="00856628"/>
    <w:rsid w:val="00871BE0"/>
    <w:rsid w:val="00881C7B"/>
    <w:rsid w:val="008D16E0"/>
    <w:rsid w:val="008D3F74"/>
    <w:rsid w:val="00902D1F"/>
    <w:rsid w:val="0094223E"/>
    <w:rsid w:val="0096789D"/>
    <w:rsid w:val="00974BB0"/>
    <w:rsid w:val="0097759F"/>
    <w:rsid w:val="009C705C"/>
    <w:rsid w:val="009E2C48"/>
    <w:rsid w:val="00A023A9"/>
    <w:rsid w:val="00A03350"/>
    <w:rsid w:val="00A207A1"/>
    <w:rsid w:val="00A60B31"/>
    <w:rsid w:val="00A71AA8"/>
    <w:rsid w:val="00A72DCF"/>
    <w:rsid w:val="00A939E6"/>
    <w:rsid w:val="00B049C2"/>
    <w:rsid w:val="00B4787A"/>
    <w:rsid w:val="00B62780"/>
    <w:rsid w:val="00B63AE8"/>
    <w:rsid w:val="00B74834"/>
    <w:rsid w:val="00B83339"/>
    <w:rsid w:val="00B92178"/>
    <w:rsid w:val="00BD2794"/>
    <w:rsid w:val="00BD511E"/>
    <w:rsid w:val="00C00572"/>
    <w:rsid w:val="00C57085"/>
    <w:rsid w:val="00C57113"/>
    <w:rsid w:val="00C7699D"/>
    <w:rsid w:val="00C865AC"/>
    <w:rsid w:val="00D10871"/>
    <w:rsid w:val="00D821F1"/>
    <w:rsid w:val="00D96FEC"/>
    <w:rsid w:val="00DA225C"/>
    <w:rsid w:val="00DC3614"/>
    <w:rsid w:val="00DF3295"/>
    <w:rsid w:val="00DF3CB2"/>
    <w:rsid w:val="00E43C86"/>
    <w:rsid w:val="00E516A8"/>
    <w:rsid w:val="00E558E3"/>
    <w:rsid w:val="00EA16AC"/>
    <w:rsid w:val="00EA6D25"/>
    <w:rsid w:val="00EC262A"/>
    <w:rsid w:val="00EC2ACF"/>
    <w:rsid w:val="00ED6F71"/>
    <w:rsid w:val="00EF05DE"/>
    <w:rsid w:val="00F32DD3"/>
    <w:rsid w:val="00F359B6"/>
    <w:rsid w:val="00F36840"/>
    <w:rsid w:val="00F62891"/>
    <w:rsid w:val="00F81716"/>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85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info.legislature.ca.gov/faces/billNavClient.xhtml?bill_id=202120220AB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2022-12-06T23:05:00Z</dcterms:created>
  <dcterms:modified xsi:type="dcterms:W3CDTF">2022-12-06T23:05:00Z</dcterms:modified>
</cp:coreProperties>
</file>