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8730"/>
        <w:gridCol w:w="900"/>
        <w:gridCol w:w="810"/>
        <w:gridCol w:w="900"/>
      </w:tblGrid>
      <w:tr w:rsidR="00D23BDB" w:rsidTr="00337DE0">
        <w:trPr>
          <w:trHeight w:val="1187"/>
        </w:trPr>
        <w:tc>
          <w:tcPr>
            <w:tcW w:w="3600" w:type="dxa"/>
            <w:shd w:val="clear" w:color="auto" w:fill="auto"/>
          </w:tcPr>
          <w:p w:rsidR="00D23BDB" w:rsidRDefault="00D23BDB" w:rsidP="00A82B14">
            <w:pPr>
              <w:jc w:val="both"/>
              <w:rPr>
                <w:b/>
              </w:rPr>
            </w:pPr>
            <w:bookmarkStart w:id="0" w:name="_GoBack"/>
            <w:bookmarkEnd w:id="0"/>
            <w:r w:rsidRPr="007B5281">
              <w:rPr>
                <w:b/>
              </w:rPr>
              <w:t>Presenter –</w:t>
            </w:r>
            <w:r w:rsidR="00A82B14">
              <w:rPr>
                <w:b/>
              </w:rPr>
              <w:t xml:space="preserve">Melinda Karp </w:t>
            </w:r>
          </w:p>
          <w:p w:rsidR="00A82B14" w:rsidRDefault="00A82B14" w:rsidP="00A82B14">
            <w:pPr>
              <w:jc w:val="both"/>
              <w:rPr>
                <w:b/>
              </w:rPr>
            </w:pPr>
          </w:p>
          <w:p w:rsidR="00A82B14" w:rsidRPr="00922A0D" w:rsidRDefault="00A82B14" w:rsidP="00A82B14">
            <w:pPr>
              <w:jc w:val="both"/>
              <w:rPr>
                <w:b/>
                <w:i/>
              </w:rPr>
            </w:pPr>
            <w:r w:rsidRPr="00922A0D">
              <w:rPr>
                <w:b/>
                <w:i/>
              </w:rPr>
              <w:t xml:space="preserve">Guided Pathways: Exploring the Faculty Role Beyond Course Mapping </w:t>
            </w:r>
          </w:p>
        </w:tc>
        <w:tc>
          <w:tcPr>
            <w:tcW w:w="8730" w:type="dxa"/>
            <w:shd w:val="clear" w:color="auto" w:fill="auto"/>
          </w:tcPr>
          <w:p w:rsidR="00A82B14" w:rsidRPr="007B5281" w:rsidRDefault="00BC7F59" w:rsidP="007B5281">
            <w:pPr>
              <w:jc w:val="both"/>
              <w:rPr>
                <w:b/>
              </w:rPr>
            </w:pPr>
            <w:r w:rsidRPr="00BC7F59">
              <w:rPr>
                <w:b/>
                <w:bCs/>
              </w:rPr>
              <w:t xml:space="preserve">This interactive session will explore a “Transformative Change” model and engage participants in exploring the roles, behaviors and supports that will enable faculty to be full partners in creating an effective Guided Pathways culture at Rio Hondo. While this workshop is highly recommended for Guided Pathways Steering Committee members, </w:t>
            </w:r>
            <w:r w:rsidRPr="00922A0D">
              <w:rPr>
                <w:b/>
                <w:bCs/>
                <w:u w:val="single"/>
              </w:rPr>
              <w:t>all</w:t>
            </w:r>
            <w:r w:rsidRPr="00BC7F59">
              <w:rPr>
                <w:b/>
                <w:bCs/>
              </w:rPr>
              <w:t xml:space="preserve"> faculty who want to deepen their understanding and involvement in this initiative are welcome.</w:t>
            </w:r>
          </w:p>
        </w:tc>
        <w:tc>
          <w:tcPr>
            <w:tcW w:w="900" w:type="dxa"/>
            <w:shd w:val="clear" w:color="auto" w:fill="auto"/>
          </w:tcPr>
          <w:p w:rsidR="00D23BDB" w:rsidRPr="007B5281" w:rsidRDefault="00D23BDB" w:rsidP="007B5281">
            <w:pPr>
              <w:jc w:val="center"/>
              <w:rPr>
                <w:b/>
              </w:rPr>
            </w:pPr>
          </w:p>
          <w:p w:rsidR="00D23BDB" w:rsidRPr="007B5281" w:rsidRDefault="00D23BDB" w:rsidP="007B5281">
            <w:pPr>
              <w:jc w:val="center"/>
              <w:rPr>
                <w:b/>
              </w:rPr>
            </w:pPr>
          </w:p>
          <w:p w:rsidR="00D23BDB" w:rsidRPr="00922A0D" w:rsidRDefault="008B7380" w:rsidP="007B5281">
            <w:pPr>
              <w:jc w:val="center"/>
              <w:rPr>
                <w:b/>
                <w:sz w:val="22"/>
                <w:szCs w:val="22"/>
              </w:rPr>
            </w:pPr>
            <w:r w:rsidRPr="00922A0D">
              <w:rPr>
                <w:b/>
                <w:sz w:val="22"/>
                <w:szCs w:val="22"/>
              </w:rPr>
              <w:t>LR12</w:t>
            </w:r>
            <w:r w:rsidR="00A82B14" w:rsidRPr="00922A0D">
              <w:rPr>
                <w:b/>
                <w:sz w:val="22"/>
                <w:szCs w:val="22"/>
              </w:rPr>
              <w:t>8</w:t>
            </w:r>
          </w:p>
        </w:tc>
        <w:tc>
          <w:tcPr>
            <w:tcW w:w="1710" w:type="dxa"/>
            <w:gridSpan w:val="2"/>
            <w:shd w:val="clear" w:color="auto" w:fill="auto"/>
          </w:tcPr>
          <w:p w:rsidR="00D23BDB" w:rsidRPr="007B5281" w:rsidRDefault="00D23BDB" w:rsidP="007B5281">
            <w:pPr>
              <w:jc w:val="center"/>
              <w:rPr>
                <w:b/>
                <w:sz w:val="20"/>
                <w:szCs w:val="20"/>
              </w:rPr>
            </w:pPr>
            <w:r w:rsidRPr="007B5281">
              <w:rPr>
                <w:b/>
                <w:sz w:val="20"/>
                <w:szCs w:val="20"/>
              </w:rPr>
              <w:t>RUNS OVER BOTH SESSIONS</w:t>
            </w:r>
          </w:p>
        </w:tc>
      </w:tr>
      <w:tr w:rsidR="00A82B14" w:rsidTr="00337DE0">
        <w:trPr>
          <w:trHeight w:val="1232"/>
        </w:trPr>
        <w:tc>
          <w:tcPr>
            <w:tcW w:w="3600" w:type="dxa"/>
            <w:shd w:val="clear" w:color="auto" w:fill="auto"/>
          </w:tcPr>
          <w:p w:rsidR="00A82B14" w:rsidRPr="007B5281" w:rsidRDefault="00A82B14" w:rsidP="00A82B14">
            <w:pPr>
              <w:rPr>
                <w:b/>
                <w:i/>
              </w:rPr>
            </w:pPr>
            <w:r w:rsidRPr="007B5281">
              <w:rPr>
                <w:b/>
              </w:rPr>
              <w:t xml:space="preserve">Presenter – </w:t>
            </w:r>
            <w:r>
              <w:rPr>
                <w:b/>
              </w:rPr>
              <w:t xml:space="preserve">Irene Truong, Claudia Rivas, Robin Babou, Brian Young, Young Lee </w:t>
            </w:r>
          </w:p>
          <w:p w:rsidR="00A82B14" w:rsidRDefault="00A82B14" w:rsidP="00054284">
            <w:pPr>
              <w:rPr>
                <w:b/>
                <w:i/>
              </w:rPr>
            </w:pPr>
          </w:p>
          <w:p w:rsidR="00A82B14" w:rsidRPr="007B5281" w:rsidRDefault="00A82B14" w:rsidP="00054284">
            <w:pPr>
              <w:rPr>
                <w:b/>
                <w:i/>
              </w:rPr>
            </w:pPr>
            <w:r>
              <w:rPr>
                <w:b/>
                <w:i/>
              </w:rPr>
              <w:t xml:space="preserve">Faculty Library Scavenger Hunt </w:t>
            </w:r>
          </w:p>
        </w:tc>
        <w:tc>
          <w:tcPr>
            <w:tcW w:w="8730" w:type="dxa"/>
            <w:shd w:val="clear" w:color="auto" w:fill="auto"/>
          </w:tcPr>
          <w:p w:rsidR="00A82B14" w:rsidRPr="007B5281" w:rsidRDefault="00A82B14" w:rsidP="00054284">
            <w:pPr>
              <w:rPr>
                <w:b/>
              </w:rPr>
            </w:pPr>
            <w:r>
              <w:rPr>
                <w:b/>
              </w:rPr>
              <w:t xml:space="preserve">Learn about new and current library services by completing a digital scavenger hunt created just for faculty! New library services include LibChat (an online librarian chat service for research help) and access to thousands of ebooks. Make sure to bring your smartphone. </w:t>
            </w:r>
          </w:p>
          <w:p w:rsidR="00A82B14" w:rsidRPr="007B5281" w:rsidRDefault="00A82B14" w:rsidP="00054284">
            <w:pPr>
              <w:rPr>
                <w:b/>
              </w:rPr>
            </w:pPr>
          </w:p>
        </w:tc>
        <w:tc>
          <w:tcPr>
            <w:tcW w:w="900" w:type="dxa"/>
            <w:shd w:val="clear" w:color="auto" w:fill="auto"/>
          </w:tcPr>
          <w:p w:rsidR="00A82B14" w:rsidRDefault="00A82B14" w:rsidP="007B5281">
            <w:pPr>
              <w:jc w:val="center"/>
              <w:rPr>
                <w:b/>
              </w:rPr>
            </w:pPr>
          </w:p>
          <w:p w:rsidR="00A82B14" w:rsidRPr="00A82B14" w:rsidRDefault="00A82B14" w:rsidP="007B5281">
            <w:pPr>
              <w:jc w:val="center"/>
              <w:rPr>
                <w:b/>
                <w:sz w:val="16"/>
                <w:szCs w:val="16"/>
              </w:rPr>
            </w:pPr>
          </w:p>
          <w:p w:rsidR="00A82B14" w:rsidRPr="00922A0D" w:rsidRDefault="00A82B14" w:rsidP="007B5281">
            <w:pPr>
              <w:jc w:val="center"/>
              <w:rPr>
                <w:b/>
                <w:sz w:val="22"/>
                <w:szCs w:val="22"/>
              </w:rPr>
            </w:pPr>
            <w:r w:rsidRPr="00922A0D">
              <w:rPr>
                <w:b/>
                <w:sz w:val="22"/>
                <w:szCs w:val="22"/>
              </w:rPr>
              <w:t>LR230</w:t>
            </w:r>
          </w:p>
        </w:tc>
        <w:tc>
          <w:tcPr>
            <w:tcW w:w="810" w:type="dxa"/>
            <w:shd w:val="clear" w:color="auto" w:fill="auto"/>
          </w:tcPr>
          <w:p w:rsidR="00A82B14" w:rsidRDefault="00A82B14" w:rsidP="007B5281">
            <w:pPr>
              <w:jc w:val="center"/>
              <w:rPr>
                <w:b/>
                <w:sz w:val="20"/>
                <w:szCs w:val="20"/>
              </w:rPr>
            </w:pPr>
          </w:p>
          <w:p w:rsidR="004D0B05" w:rsidRDefault="004D0B05" w:rsidP="007B5281">
            <w:pPr>
              <w:jc w:val="center"/>
              <w:rPr>
                <w:b/>
                <w:sz w:val="20"/>
                <w:szCs w:val="20"/>
              </w:rPr>
            </w:pPr>
          </w:p>
          <w:p w:rsidR="004D0B05" w:rsidRDefault="004D0B05" w:rsidP="007B5281">
            <w:pPr>
              <w:jc w:val="center"/>
              <w:rPr>
                <w:b/>
                <w:sz w:val="20"/>
                <w:szCs w:val="20"/>
              </w:rPr>
            </w:pPr>
          </w:p>
          <w:p w:rsidR="004D0B05" w:rsidRPr="007B5281" w:rsidRDefault="004D0B05" w:rsidP="007B5281">
            <w:pPr>
              <w:jc w:val="center"/>
              <w:rPr>
                <w:b/>
                <w:sz w:val="20"/>
                <w:szCs w:val="20"/>
              </w:rPr>
            </w:pPr>
            <w:r>
              <w:rPr>
                <w:b/>
                <w:sz w:val="20"/>
                <w:szCs w:val="20"/>
              </w:rPr>
              <w:t>X</w:t>
            </w:r>
          </w:p>
        </w:tc>
        <w:tc>
          <w:tcPr>
            <w:tcW w:w="900" w:type="dxa"/>
            <w:shd w:val="clear" w:color="auto" w:fill="auto"/>
          </w:tcPr>
          <w:p w:rsidR="00A82B14" w:rsidRDefault="00A82B14" w:rsidP="007B5281">
            <w:pPr>
              <w:jc w:val="center"/>
              <w:rPr>
                <w:b/>
                <w:sz w:val="20"/>
                <w:szCs w:val="20"/>
              </w:rPr>
            </w:pPr>
          </w:p>
          <w:p w:rsidR="004D0B05" w:rsidRDefault="004D0B05" w:rsidP="007B5281">
            <w:pPr>
              <w:jc w:val="center"/>
              <w:rPr>
                <w:b/>
                <w:sz w:val="20"/>
                <w:szCs w:val="20"/>
              </w:rPr>
            </w:pPr>
          </w:p>
          <w:p w:rsidR="004D0B05" w:rsidRDefault="004D0B05" w:rsidP="007B5281">
            <w:pPr>
              <w:jc w:val="center"/>
              <w:rPr>
                <w:b/>
                <w:sz w:val="20"/>
                <w:szCs w:val="20"/>
              </w:rPr>
            </w:pPr>
          </w:p>
          <w:p w:rsidR="004D0B05" w:rsidRPr="007B5281" w:rsidRDefault="004D0B05" w:rsidP="007B5281">
            <w:pPr>
              <w:jc w:val="center"/>
              <w:rPr>
                <w:b/>
                <w:sz w:val="20"/>
                <w:szCs w:val="20"/>
              </w:rPr>
            </w:pPr>
            <w:r>
              <w:rPr>
                <w:b/>
                <w:sz w:val="20"/>
                <w:szCs w:val="20"/>
              </w:rPr>
              <w:t>X</w:t>
            </w:r>
          </w:p>
        </w:tc>
      </w:tr>
      <w:tr w:rsidR="00C92D84" w:rsidRPr="008B7380" w:rsidTr="00922A0D">
        <w:trPr>
          <w:trHeight w:val="1178"/>
        </w:trPr>
        <w:tc>
          <w:tcPr>
            <w:tcW w:w="3600" w:type="dxa"/>
            <w:shd w:val="clear" w:color="auto" w:fill="auto"/>
          </w:tcPr>
          <w:p w:rsidR="00C92D84" w:rsidRDefault="00C92D84" w:rsidP="00C92D84">
            <w:pPr>
              <w:jc w:val="both"/>
              <w:rPr>
                <w:b/>
              </w:rPr>
            </w:pPr>
            <w:r w:rsidRPr="007B5281">
              <w:rPr>
                <w:b/>
              </w:rPr>
              <w:t xml:space="preserve">Presenter – </w:t>
            </w:r>
            <w:r>
              <w:rPr>
                <w:b/>
              </w:rPr>
              <w:t xml:space="preserve">Ryan Carey </w:t>
            </w:r>
          </w:p>
          <w:p w:rsidR="00C92D84" w:rsidRDefault="00C92D84" w:rsidP="00C92D84">
            <w:pPr>
              <w:jc w:val="both"/>
              <w:rPr>
                <w:b/>
              </w:rPr>
            </w:pPr>
          </w:p>
          <w:p w:rsidR="00C92D84" w:rsidRPr="00922A0D" w:rsidRDefault="00C92D84" w:rsidP="00C92D84">
            <w:pPr>
              <w:jc w:val="both"/>
              <w:rPr>
                <w:b/>
                <w:i/>
              </w:rPr>
            </w:pPr>
            <w:r w:rsidRPr="00922A0D">
              <w:rPr>
                <w:b/>
                <w:i/>
              </w:rPr>
              <w:t>Medical Emergency Situational Awareness</w:t>
            </w:r>
          </w:p>
          <w:p w:rsidR="00C92D84" w:rsidRPr="007B5281" w:rsidRDefault="00C92D84" w:rsidP="00C92D84">
            <w:pPr>
              <w:jc w:val="both"/>
              <w:rPr>
                <w:b/>
                <w:i/>
              </w:rPr>
            </w:pPr>
          </w:p>
        </w:tc>
        <w:tc>
          <w:tcPr>
            <w:tcW w:w="8730" w:type="dxa"/>
            <w:shd w:val="clear" w:color="auto" w:fill="auto"/>
          </w:tcPr>
          <w:p w:rsidR="00C92D84" w:rsidRPr="00C92D84" w:rsidRDefault="00C92D84" w:rsidP="00C92D84">
            <w:pPr>
              <w:rPr>
                <w:b/>
              </w:rPr>
            </w:pPr>
            <w:r w:rsidRPr="00C92D84">
              <w:rPr>
                <w:b/>
              </w:rPr>
              <w:t xml:space="preserve">Learn how to quickly recognize a medical emergency, communicate it to others, and take appropriate life saving measures </w:t>
            </w:r>
          </w:p>
          <w:p w:rsidR="00C92D84" w:rsidRDefault="00C92D84" w:rsidP="00C92D84">
            <w:pPr>
              <w:rPr>
                <w:b/>
              </w:rPr>
            </w:pPr>
          </w:p>
        </w:tc>
        <w:tc>
          <w:tcPr>
            <w:tcW w:w="900" w:type="dxa"/>
            <w:shd w:val="clear" w:color="auto" w:fill="auto"/>
          </w:tcPr>
          <w:p w:rsidR="00C92D84" w:rsidRDefault="00C92D84" w:rsidP="00C92D84">
            <w:pPr>
              <w:jc w:val="center"/>
              <w:rPr>
                <w:b/>
              </w:rPr>
            </w:pPr>
          </w:p>
          <w:p w:rsidR="00C92D84" w:rsidRDefault="00C92D84" w:rsidP="00C92D84">
            <w:pPr>
              <w:jc w:val="center"/>
              <w:rPr>
                <w:b/>
              </w:rPr>
            </w:pPr>
          </w:p>
          <w:p w:rsidR="00C92D84" w:rsidRPr="007B5281" w:rsidRDefault="00C92D84" w:rsidP="00C92D84">
            <w:pPr>
              <w:jc w:val="center"/>
              <w:rPr>
                <w:b/>
              </w:rPr>
            </w:pPr>
            <w:r>
              <w:rPr>
                <w:b/>
              </w:rPr>
              <w:t>A224</w:t>
            </w:r>
          </w:p>
        </w:tc>
        <w:tc>
          <w:tcPr>
            <w:tcW w:w="810" w:type="dxa"/>
            <w:shd w:val="clear" w:color="auto" w:fill="auto"/>
          </w:tcPr>
          <w:p w:rsidR="00C92D84" w:rsidRDefault="00C92D84" w:rsidP="00C92D84">
            <w:pPr>
              <w:jc w:val="center"/>
              <w:rPr>
                <w:b/>
              </w:rPr>
            </w:pPr>
          </w:p>
          <w:p w:rsidR="00C92D84" w:rsidRDefault="00C92D84" w:rsidP="00C92D84">
            <w:pPr>
              <w:jc w:val="center"/>
              <w:rPr>
                <w:b/>
              </w:rPr>
            </w:pPr>
          </w:p>
          <w:p w:rsidR="00C92D84" w:rsidRDefault="00C92D84" w:rsidP="00C92D84">
            <w:pPr>
              <w:jc w:val="center"/>
              <w:rPr>
                <w:b/>
              </w:rPr>
            </w:pPr>
            <w:r>
              <w:rPr>
                <w:b/>
              </w:rPr>
              <w:t>X</w:t>
            </w:r>
          </w:p>
        </w:tc>
        <w:tc>
          <w:tcPr>
            <w:tcW w:w="900" w:type="dxa"/>
            <w:shd w:val="clear" w:color="auto" w:fill="auto"/>
          </w:tcPr>
          <w:p w:rsidR="00C92D84" w:rsidRDefault="00C92D84" w:rsidP="00C92D84">
            <w:pPr>
              <w:jc w:val="center"/>
              <w:rPr>
                <w:b/>
              </w:rPr>
            </w:pPr>
          </w:p>
          <w:p w:rsidR="00C92D84" w:rsidRDefault="00C92D84" w:rsidP="00C92D84">
            <w:pPr>
              <w:jc w:val="center"/>
              <w:rPr>
                <w:b/>
              </w:rPr>
            </w:pPr>
          </w:p>
          <w:p w:rsidR="00C92D84" w:rsidRPr="007B5281" w:rsidRDefault="00C92D84" w:rsidP="00C92D84">
            <w:pPr>
              <w:jc w:val="center"/>
              <w:rPr>
                <w:b/>
              </w:rPr>
            </w:pPr>
            <w:r>
              <w:rPr>
                <w:b/>
              </w:rPr>
              <w:t>X</w:t>
            </w:r>
          </w:p>
        </w:tc>
      </w:tr>
      <w:tr w:rsidR="00C92D84" w:rsidRPr="008B7380" w:rsidTr="00337DE0">
        <w:trPr>
          <w:trHeight w:val="1457"/>
        </w:trPr>
        <w:tc>
          <w:tcPr>
            <w:tcW w:w="3600" w:type="dxa"/>
            <w:shd w:val="clear" w:color="auto" w:fill="auto"/>
          </w:tcPr>
          <w:p w:rsidR="00C92D84" w:rsidRPr="00C92D84" w:rsidRDefault="00C92D84" w:rsidP="00C92D84">
            <w:pPr>
              <w:rPr>
                <w:b/>
              </w:rPr>
            </w:pPr>
            <w:r w:rsidRPr="00C92D84">
              <w:rPr>
                <w:b/>
              </w:rPr>
              <w:t>Presenter – Kenn Pierson-Geiger, PhD</w:t>
            </w:r>
          </w:p>
          <w:p w:rsidR="00C92D84" w:rsidRPr="00C92D84" w:rsidRDefault="00C92D84" w:rsidP="00C92D84">
            <w:pPr>
              <w:rPr>
                <w:b/>
              </w:rPr>
            </w:pPr>
          </w:p>
          <w:p w:rsidR="00C92D84" w:rsidRPr="00922A0D" w:rsidRDefault="00C92D84" w:rsidP="00C92D84">
            <w:pPr>
              <w:rPr>
                <w:b/>
                <w:i/>
              </w:rPr>
            </w:pPr>
            <w:r w:rsidRPr="00922A0D">
              <w:rPr>
                <w:b/>
                <w:i/>
              </w:rPr>
              <w:t xml:space="preserve">Even at Rio Hondo: Recognizing the Post-Truth Mindset and the Age of Misinformation as Challenges to Our Students’ Critical Thinking and Research </w:t>
            </w:r>
          </w:p>
          <w:p w:rsidR="00C92D84" w:rsidRDefault="00C92D84" w:rsidP="00C92D84">
            <w:pPr>
              <w:rPr>
                <w:b/>
              </w:rPr>
            </w:pPr>
          </w:p>
        </w:tc>
        <w:tc>
          <w:tcPr>
            <w:tcW w:w="8730" w:type="dxa"/>
            <w:shd w:val="clear" w:color="auto" w:fill="auto"/>
          </w:tcPr>
          <w:p w:rsidR="00C92D84" w:rsidRPr="007B5281" w:rsidRDefault="00C92D84" w:rsidP="00C92D84">
            <w:pPr>
              <w:rPr>
                <w:b/>
              </w:rPr>
            </w:pPr>
            <w:r w:rsidRPr="00BC7F59">
              <w:rPr>
                <w:b/>
              </w:rPr>
              <w:t>America is increasingly threatened by “post-truth” thinking, which values personal beliefs and emotions over objective facts.  At the same time, we live in an age of misinformation, which perpetuates false information, often with the deliberate intent to mislead.  Students at Rio Hondo College are not exempt from these cultural trends that challenge their development of sound critical thinking and research skills. Workshop participants will learn more about these emerging threats to academic inquiry and help to identify specific post-truth/misinformation challenges at our campus.  A subsequent</w:t>
            </w:r>
            <w:r w:rsidR="00922A0D">
              <w:rPr>
                <w:b/>
              </w:rPr>
              <w:t xml:space="preserve"> workshop </w:t>
            </w:r>
            <w:r w:rsidRPr="00BC7F59">
              <w:rPr>
                <w:b/>
              </w:rPr>
              <w:t>will consider practical ways for faculty to help students address those challenges in the classroom.</w:t>
            </w:r>
          </w:p>
        </w:tc>
        <w:tc>
          <w:tcPr>
            <w:tcW w:w="900" w:type="dxa"/>
            <w:shd w:val="clear" w:color="auto" w:fill="auto"/>
          </w:tcPr>
          <w:p w:rsidR="00C92D84" w:rsidRDefault="00C92D84" w:rsidP="00C92D84">
            <w:pPr>
              <w:jc w:val="center"/>
              <w:rPr>
                <w:b/>
              </w:rPr>
            </w:pPr>
          </w:p>
          <w:p w:rsidR="00C92D84" w:rsidRDefault="00C92D84" w:rsidP="00C92D84">
            <w:pPr>
              <w:jc w:val="center"/>
              <w:rPr>
                <w:b/>
              </w:rPr>
            </w:pPr>
          </w:p>
          <w:p w:rsidR="00C92D84" w:rsidRDefault="00C92D84" w:rsidP="00C92D84">
            <w:pPr>
              <w:jc w:val="center"/>
              <w:rPr>
                <w:b/>
              </w:rPr>
            </w:pPr>
          </w:p>
          <w:p w:rsidR="00C92D84" w:rsidRDefault="00C92D84" w:rsidP="00C92D84">
            <w:pPr>
              <w:jc w:val="center"/>
              <w:rPr>
                <w:b/>
              </w:rPr>
            </w:pPr>
          </w:p>
          <w:p w:rsidR="00C92D84" w:rsidRPr="007B5281" w:rsidRDefault="00C92D84" w:rsidP="00C92D84">
            <w:pPr>
              <w:jc w:val="center"/>
              <w:rPr>
                <w:b/>
              </w:rPr>
            </w:pPr>
            <w:r>
              <w:rPr>
                <w:b/>
              </w:rPr>
              <w:t>A225</w:t>
            </w:r>
          </w:p>
        </w:tc>
        <w:tc>
          <w:tcPr>
            <w:tcW w:w="810" w:type="dxa"/>
            <w:shd w:val="clear" w:color="auto" w:fill="auto"/>
          </w:tcPr>
          <w:p w:rsidR="00C92D84" w:rsidRDefault="00C92D84" w:rsidP="00C92D84">
            <w:pPr>
              <w:jc w:val="center"/>
              <w:rPr>
                <w:b/>
              </w:rPr>
            </w:pPr>
          </w:p>
          <w:p w:rsidR="00C92D84" w:rsidRDefault="00C92D84" w:rsidP="00C92D84">
            <w:pPr>
              <w:jc w:val="center"/>
              <w:rPr>
                <w:b/>
              </w:rPr>
            </w:pPr>
          </w:p>
          <w:p w:rsidR="00C92D84" w:rsidRDefault="00C92D84" w:rsidP="00C92D84">
            <w:pPr>
              <w:jc w:val="center"/>
              <w:rPr>
                <w:b/>
              </w:rPr>
            </w:pPr>
          </w:p>
          <w:p w:rsidR="00C92D84" w:rsidRDefault="00C92D84" w:rsidP="00C92D84">
            <w:pPr>
              <w:jc w:val="center"/>
              <w:rPr>
                <w:b/>
              </w:rPr>
            </w:pPr>
          </w:p>
          <w:p w:rsidR="00C92D84" w:rsidRDefault="00C92D84" w:rsidP="00C92D84">
            <w:pPr>
              <w:jc w:val="center"/>
              <w:rPr>
                <w:b/>
              </w:rPr>
            </w:pPr>
            <w:r>
              <w:rPr>
                <w:b/>
              </w:rPr>
              <w:t>X</w:t>
            </w:r>
          </w:p>
          <w:p w:rsidR="00C92D84" w:rsidRDefault="00C92D84" w:rsidP="00C92D84">
            <w:pPr>
              <w:jc w:val="center"/>
              <w:rPr>
                <w:b/>
              </w:rPr>
            </w:pPr>
          </w:p>
        </w:tc>
        <w:tc>
          <w:tcPr>
            <w:tcW w:w="900" w:type="dxa"/>
            <w:shd w:val="clear" w:color="auto" w:fill="auto"/>
          </w:tcPr>
          <w:p w:rsidR="00C92D84" w:rsidRDefault="00C92D84" w:rsidP="00C92D84">
            <w:pPr>
              <w:jc w:val="center"/>
              <w:rPr>
                <w:b/>
              </w:rPr>
            </w:pPr>
          </w:p>
          <w:p w:rsidR="00C92D84" w:rsidRDefault="00C92D84" w:rsidP="00C92D84">
            <w:pPr>
              <w:jc w:val="center"/>
              <w:rPr>
                <w:b/>
              </w:rPr>
            </w:pPr>
          </w:p>
          <w:p w:rsidR="00C92D84" w:rsidRDefault="00C92D84" w:rsidP="00C92D84">
            <w:pPr>
              <w:jc w:val="center"/>
              <w:rPr>
                <w:b/>
              </w:rPr>
            </w:pPr>
          </w:p>
          <w:p w:rsidR="00C92D84" w:rsidRDefault="00C92D84" w:rsidP="00C92D84">
            <w:pPr>
              <w:jc w:val="center"/>
              <w:rPr>
                <w:b/>
              </w:rPr>
            </w:pPr>
          </w:p>
          <w:p w:rsidR="00C92D84" w:rsidRPr="007B5281" w:rsidRDefault="00C92D84" w:rsidP="00C92D84">
            <w:pPr>
              <w:jc w:val="center"/>
              <w:rPr>
                <w:b/>
              </w:rPr>
            </w:pPr>
            <w:r>
              <w:rPr>
                <w:b/>
              </w:rPr>
              <w:t>X</w:t>
            </w:r>
          </w:p>
        </w:tc>
      </w:tr>
      <w:tr w:rsidR="00C92D84" w:rsidRPr="008B7380" w:rsidTr="00922A0D">
        <w:trPr>
          <w:trHeight w:val="1178"/>
        </w:trPr>
        <w:tc>
          <w:tcPr>
            <w:tcW w:w="3600" w:type="dxa"/>
            <w:shd w:val="clear" w:color="auto" w:fill="auto"/>
          </w:tcPr>
          <w:p w:rsidR="00C92D84" w:rsidRDefault="00C92D84" w:rsidP="00C92D84">
            <w:pPr>
              <w:rPr>
                <w:b/>
              </w:rPr>
            </w:pPr>
            <w:r>
              <w:rPr>
                <w:b/>
              </w:rPr>
              <w:lastRenderedPageBreak/>
              <w:t xml:space="preserve">Presenter – Daniela Chavez, Glenn Heap </w:t>
            </w:r>
          </w:p>
          <w:p w:rsidR="00C92D84" w:rsidRDefault="00C92D84" w:rsidP="00C92D84">
            <w:pPr>
              <w:rPr>
                <w:b/>
              </w:rPr>
            </w:pPr>
          </w:p>
          <w:p w:rsidR="00C92D84" w:rsidRDefault="00C92D84" w:rsidP="00C92D84">
            <w:pPr>
              <w:rPr>
                <w:b/>
              </w:rPr>
            </w:pPr>
            <w:r>
              <w:rPr>
                <w:b/>
              </w:rPr>
              <w:t>Assisting Students in Distress</w:t>
            </w:r>
          </w:p>
        </w:tc>
        <w:tc>
          <w:tcPr>
            <w:tcW w:w="8730" w:type="dxa"/>
            <w:shd w:val="clear" w:color="auto" w:fill="auto"/>
          </w:tcPr>
          <w:p w:rsidR="00C92D84" w:rsidRDefault="00C92D84" w:rsidP="00C92D84">
            <w:pPr>
              <w:rPr>
                <w:b/>
              </w:rPr>
            </w:pPr>
            <w:r>
              <w:rPr>
                <w:b/>
              </w:rPr>
              <w:t xml:space="preserve">Learn tools to identify and refer students in distress to appropriate on and off campus resources </w:t>
            </w:r>
          </w:p>
        </w:tc>
        <w:tc>
          <w:tcPr>
            <w:tcW w:w="900" w:type="dxa"/>
            <w:shd w:val="clear" w:color="auto" w:fill="auto"/>
          </w:tcPr>
          <w:p w:rsidR="00C92D84" w:rsidRDefault="00C92D84" w:rsidP="00C92D84">
            <w:pPr>
              <w:jc w:val="center"/>
              <w:rPr>
                <w:b/>
              </w:rPr>
            </w:pPr>
          </w:p>
          <w:p w:rsidR="00C92D84" w:rsidRPr="007B5281" w:rsidRDefault="003244A7" w:rsidP="00C92D84">
            <w:pPr>
              <w:jc w:val="center"/>
              <w:rPr>
                <w:b/>
              </w:rPr>
            </w:pPr>
            <w:r>
              <w:rPr>
                <w:b/>
              </w:rPr>
              <w:t>A210</w:t>
            </w:r>
          </w:p>
        </w:tc>
        <w:tc>
          <w:tcPr>
            <w:tcW w:w="810" w:type="dxa"/>
            <w:shd w:val="clear" w:color="auto" w:fill="auto"/>
          </w:tcPr>
          <w:p w:rsidR="00C92D84" w:rsidRDefault="00C92D84" w:rsidP="00C92D84">
            <w:pPr>
              <w:jc w:val="center"/>
              <w:rPr>
                <w:b/>
              </w:rPr>
            </w:pPr>
          </w:p>
          <w:p w:rsidR="00C92D84" w:rsidRDefault="00C92D84" w:rsidP="00C92D84">
            <w:pPr>
              <w:jc w:val="center"/>
              <w:rPr>
                <w:b/>
              </w:rPr>
            </w:pPr>
            <w:r>
              <w:rPr>
                <w:b/>
              </w:rPr>
              <w:t>X</w:t>
            </w:r>
          </w:p>
        </w:tc>
        <w:tc>
          <w:tcPr>
            <w:tcW w:w="900" w:type="dxa"/>
            <w:shd w:val="clear" w:color="auto" w:fill="auto"/>
          </w:tcPr>
          <w:p w:rsidR="00C92D84" w:rsidRDefault="00C92D84" w:rsidP="00C92D84">
            <w:pPr>
              <w:jc w:val="center"/>
              <w:rPr>
                <w:b/>
              </w:rPr>
            </w:pPr>
          </w:p>
          <w:p w:rsidR="00C92D84" w:rsidRPr="007B5281" w:rsidRDefault="00C92D84" w:rsidP="00C92D84">
            <w:pPr>
              <w:jc w:val="center"/>
              <w:rPr>
                <w:b/>
              </w:rPr>
            </w:pPr>
            <w:r>
              <w:rPr>
                <w:b/>
              </w:rPr>
              <w:t xml:space="preserve">X </w:t>
            </w:r>
          </w:p>
        </w:tc>
      </w:tr>
      <w:tr w:rsidR="007F571A" w:rsidRPr="008B7380" w:rsidTr="00226486">
        <w:trPr>
          <w:trHeight w:val="1457"/>
        </w:trPr>
        <w:tc>
          <w:tcPr>
            <w:tcW w:w="3600" w:type="dxa"/>
            <w:shd w:val="clear" w:color="auto" w:fill="auto"/>
          </w:tcPr>
          <w:p w:rsidR="007F571A" w:rsidRDefault="007F571A" w:rsidP="007F571A">
            <w:pPr>
              <w:pStyle w:val="BodyText2"/>
              <w:rPr>
                <w:rFonts w:ascii="Times New Roman" w:hAnsi="Times New Roman" w:cs="Times New Roman"/>
                <w:bCs w:val="0"/>
                <w:i w:val="0"/>
                <w:iCs w:val="0"/>
                <w:sz w:val="24"/>
              </w:rPr>
            </w:pPr>
            <w:r>
              <w:rPr>
                <w:rFonts w:ascii="Times New Roman" w:hAnsi="Times New Roman" w:cs="Times New Roman"/>
                <w:bCs w:val="0"/>
                <w:i w:val="0"/>
                <w:iCs w:val="0"/>
                <w:sz w:val="24"/>
              </w:rPr>
              <w:t xml:space="preserve">Presenter – Caroline Durdella &amp; James Sass </w:t>
            </w:r>
          </w:p>
          <w:p w:rsidR="007F571A" w:rsidRDefault="007F571A" w:rsidP="007F571A">
            <w:pPr>
              <w:pStyle w:val="BodyText2"/>
              <w:rPr>
                <w:rFonts w:ascii="Times New Roman" w:hAnsi="Times New Roman" w:cs="Times New Roman"/>
                <w:bCs w:val="0"/>
                <w:i w:val="0"/>
                <w:iCs w:val="0"/>
                <w:sz w:val="24"/>
              </w:rPr>
            </w:pPr>
          </w:p>
          <w:p w:rsidR="007F571A" w:rsidRDefault="007F571A" w:rsidP="007F571A">
            <w:pPr>
              <w:pStyle w:val="BodyText2"/>
              <w:rPr>
                <w:rFonts w:ascii="Times New Roman" w:hAnsi="Times New Roman" w:cs="Times New Roman"/>
                <w:bCs w:val="0"/>
                <w:i w:val="0"/>
                <w:iCs w:val="0"/>
                <w:sz w:val="24"/>
              </w:rPr>
            </w:pPr>
            <w:r>
              <w:rPr>
                <w:rFonts w:ascii="Times New Roman" w:hAnsi="Times New Roman" w:cs="Times New Roman"/>
                <w:bCs w:val="0"/>
                <w:i w:val="0"/>
                <w:iCs w:val="0"/>
                <w:sz w:val="24"/>
              </w:rPr>
              <w:t xml:space="preserve">Student Success Metrics: What they are and what they mean for Rio Hondo College </w:t>
            </w:r>
          </w:p>
        </w:tc>
        <w:tc>
          <w:tcPr>
            <w:tcW w:w="8730" w:type="dxa"/>
          </w:tcPr>
          <w:p w:rsidR="007F571A" w:rsidRDefault="007F571A" w:rsidP="007F571A">
            <w:pPr>
              <w:rPr>
                <w:b/>
              </w:rPr>
            </w:pPr>
            <w:r w:rsidRPr="003C68B5">
              <w:rPr>
                <w:b/>
              </w:rPr>
              <w:t>The Student Success Metrics (previously known as “Simplified Metrics”) are the Chancellor’s latest model for capturing student success and a college’s progress. Aligned with the Vision for Success, these metrics replace the Student Success Scorecard. Workshop participants will learn about the concepts behind these new measures, the new measures themselves, and their implications for planning and institutional effectiveness at RHC.</w:t>
            </w:r>
          </w:p>
        </w:tc>
        <w:tc>
          <w:tcPr>
            <w:tcW w:w="900" w:type="dxa"/>
            <w:shd w:val="clear" w:color="auto" w:fill="auto"/>
          </w:tcPr>
          <w:p w:rsidR="007F571A" w:rsidRDefault="007F571A" w:rsidP="007F571A">
            <w:pPr>
              <w:jc w:val="center"/>
              <w:rPr>
                <w:b/>
              </w:rPr>
            </w:pPr>
          </w:p>
          <w:p w:rsidR="007F571A" w:rsidRDefault="007F571A" w:rsidP="007F571A">
            <w:pPr>
              <w:jc w:val="center"/>
              <w:rPr>
                <w:b/>
              </w:rPr>
            </w:pPr>
          </w:p>
          <w:p w:rsidR="007F571A" w:rsidRPr="00922A0D" w:rsidRDefault="007F571A" w:rsidP="007F571A">
            <w:pPr>
              <w:jc w:val="center"/>
              <w:rPr>
                <w:b/>
                <w:sz w:val="22"/>
                <w:szCs w:val="22"/>
              </w:rPr>
            </w:pPr>
            <w:r w:rsidRPr="00922A0D">
              <w:rPr>
                <w:b/>
                <w:sz w:val="22"/>
                <w:szCs w:val="22"/>
              </w:rPr>
              <w:t>CI 172</w:t>
            </w:r>
          </w:p>
        </w:tc>
        <w:tc>
          <w:tcPr>
            <w:tcW w:w="810" w:type="dxa"/>
            <w:shd w:val="clear" w:color="auto" w:fill="auto"/>
          </w:tcPr>
          <w:p w:rsidR="007F571A" w:rsidRDefault="007F571A" w:rsidP="007F571A">
            <w:pPr>
              <w:jc w:val="center"/>
              <w:rPr>
                <w:b/>
              </w:rPr>
            </w:pPr>
          </w:p>
          <w:p w:rsidR="007F571A" w:rsidRDefault="007F571A" w:rsidP="007F571A">
            <w:pPr>
              <w:jc w:val="center"/>
              <w:rPr>
                <w:b/>
              </w:rPr>
            </w:pPr>
          </w:p>
          <w:p w:rsidR="007F571A" w:rsidRDefault="007F571A" w:rsidP="007F571A">
            <w:pPr>
              <w:jc w:val="center"/>
              <w:rPr>
                <w:b/>
              </w:rPr>
            </w:pPr>
            <w:r>
              <w:rPr>
                <w:b/>
              </w:rPr>
              <w:t>X</w:t>
            </w:r>
          </w:p>
        </w:tc>
        <w:tc>
          <w:tcPr>
            <w:tcW w:w="900" w:type="dxa"/>
            <w:shd w:val="clear" w:color="auto" w:fill="auto"/>
          </w:tcPr>
          <w:p w:rsidR="007F571A" w:rsidRDefault="007F571A" w:rsidP="007F571A">
            <w:pPr>
              <w:jc w:val="center"/>
              <w:rPr>
                <w:b/>
              </w:rPr>
            </w:pPr>
          </w:p>
          <w:p w:rsidR="007F571A" w:rsidRDefault="007F571A" w:rsidP="007F571A">
            <w:pPr>
              <w:jc w:val="center"/>
              <w:rPr>
                <w:b/>
              </w:rPr>
            </w:pPr>
          </w:p>
          <w:p w:rsidR="007F571A" w:rsidRPr="007B5281" w:rsidRDefault="007F571A" w:rsidP="007F571A">
            <w:pPr>
              <w:jc w:val="center"/>
              <w:rPr>
                <w:b/>
              </w:rPr>
            </w:pPr>
            <w:r>
              <w:rPr>
                <w:b/>
              </w:rPr>
              <w:t>X</w:t>
            </w:r>
          </w:p>
        </w:tc>
      </w:tr>
      <w:tr w:rsidR="007F571A" w:rsidRPr="008B7380" w:rsidTr="00337DE0">
        <w:trPr>
          <w:trHeight w:val="1457"/>
        </w:trPr>
        <w:tc>
          <w:tcPr>
            <w:tcW w:w="3600" w:type="dxa"/>
            <w:shd w:val="clear" w:color="auto" w:fill="auto"/>
          </w:tcPr>
          <w:p w:rsidR="007F571A" w:rsidRDefault="007F571A" w:rsidP="007F571A">
            <w:pPr>
              <w:jc w:val="both"/>
              <w:rPr>
                <w:b/>
              </w:rPr>
            </w:pPr>
            <w:r w:rsidRPr="007B5281">
              <w:rPr>
                <w:b/>
              </w:rPr>
              <w:t xml:space="preserve">Presenter – </w:t>
            </w:r>
            <w:r>
              <w:rPr>
                <w:b/>
              </w:rPr>
              <w:t xml:space="preserve">Justin Reed </w:t>
            </w:r>
          </w:p>
          <w:p w:rsidR="007F571A" w:rsidRDefault="007F571A" w:rsidP="007F571A">
            <w:pPr>
              <w:jc w:val="both"/>
              <w:rPr>
                <w:b/>
              </w:rPr>
            </w:pPr>
          </w:p>
          <w:p w:rsidR="007F571A" w:rsidRPr="007B5281" w:rsidRDefault="007F571A" w:rsidP="007F571A">
            <w:pPr>
              <w:jc w:val="both"/>
              <w:rPr>
                <w:b/>
                <w:i/>
              </w:rPr>
            </w:pPr>
            <w:r>
              <w:rPr>
                <w:b/>
              </w:rPr>
              <w:t>Amplify the Student Voice: Social Learning and Flipgrid</w:t>
            </w:r>
          </w:p>
          <w:p w:rsidR="007F571A" w:rsidRPr="007B5281" w:rsidRDefault="007F571A" w:rsidP="007F571A">
            <w:pPr>
              <w:jc w:val="both"/>
              <w:rPr>
                <w:b/>
                <w:i/>
              </w:rPr>
            </w:pPr>
          </w:p>
        </w:tc>
        <w:tc>
          <w:tcPr>
            <w:tcW w:w="8730" w:type="dxa"/>
            <w:shd w:val="clear" w:color="auto" w:fill="auto"/>
          </w:tcPr>
          <w:p w:rsidR="007F571A" w:rsidRPr="007B5281" w:rsidRDefault="007F571A" w:rsidP="007F571A">
            <w:pPr>
              <w:jc w:val="both"/>
              <w:rPr>
                <w:b/>
              </w:rPr>
            </w:pPr>
            <w:r w:rsidRPr="00BC7F59">
              <w:rPr>
                <w:b/>
                <w:bCs/>
              </w:rPr>
              <w:t>This workshop focuses on how to use Flipgird (flipgrid.com) and the pedagogical possibilities it presents for the college classroom. This free service gives students an opportunity to be express their creativity and present to their peers outside of the classroom via video. The workshop will cover the technology, tips and challenges, resources, and ideas that can be used whether your focus is STEM or the humanities</w:t>
            </w:r>
          </w:p>
        </w:tc>
        <w:tc>
          <w:tcPr>
            <w:tcW w:w="900" w:type="dxa"/>
            <w:shd w:val="clear" w:color="auto" w:fill="auto"/>
          </w:tcPr>
          <w:p w:rsidR="007F571A" w:rsidRDefault="007F571A" w:rsidP="007F571A">
            <w:pPr>
              <w:jc w:val="center"/>
              <w:rPr>
                <w:b/>
              </w:rPr>
            </w:pPr>
          </w:p>
          <w:p w:rsidR="007F571A" w:rsidRDefault="007F571A" w:rsidP="007F571A">
            <w:pPr>
              <w:jc w:val="center"/>
              <w:rPr>
                <w:b/>
              </w:rPr>
            </w:pPr>
          </w:p>
          <w:p w:rsidR="007F571A" w:rsidRPr="007B5281" w:rsidRDefault="007F571A" w:rsidP="007F571A">
            <w:pPr>
              <w:jc w:val="center"/>
              <w:rPr>
                <w:b/>
              </w:rPr>
            </w:pPr>
            <w:r>
              <w:rPr>
                <w:b/>
              </w:rPr>
              <w:t>A223</w:t>
            </w:r>
          </w:p>
        </w:tc>
        <w:tc>
          <w:tcPr>
            <w:tcW w:w="810" w:type="dxa"/>
            <w:shd w:val="clear" w:color="auto" w:fill="auto"/>
          </w:tcPr>
          <w:p w:rsidR="007F571A" w:rsidRDefault="007F571A" w:rsidP="007F571A">
            <w:pPr>
              <w:jc w:val="center"/>
              <w:rPr>
                <w:b/>
              </w:rPr>
            </w:pPr>
          </w:p>
          <w:p w:rsidR="0013039B" w:rsidRDefault="0013039B" w:rsidP="007F571A">
            <w:pPr>
              <w:jc w:val="center"/>
              <w:rPr>
                <w:b/>
              </w:rPr>
            </w:pPr>
          </w:p>
          <w:p w:rsidR="0013039B" w:rsidRDefault="0013039B" w:rsidP="007F571A">
            <w:pPr>
              <w:jc w:val="center"/>
              <w:rPr>
                <w:b/>
              </w:rPr>
            </w:pPr>
            <w:r>
              <w:rPr>
                <w:b/>
              </w:rPr>
              <w:t>X</w:t>
            </w:r>
          </w:p>
        </w:tc>
        <w:tc>
          <w:tcPr>
            <w:tcW w:w="900" w:type="dxa"/>
            <w:shd w:val="clear" w:color="auto" w:fill="auto"/>
          </w:tcPr>
          <w:p w:rsidR="007F571A" w:rsidRDefault="007F571A" w:rsidP="007F571A">
            <w:pPr>
              <w:jc w:val="center"/>
              <w:rPr>
                <w:b/>
              </w:rPr>
            </w:pPr>
          </w:p>
          <w:p w:rsidR="0013039B" w:rsidRDefault="0013039B" w:rsidP="007F571A">
            <w:pPr>
              <w:jc w:val="center"/>
              <w:rPr>
                <w:b/>
              </w:rPr>
            </w:pPr>
          </w:p>
          <w:p w:rsidR="0013039B" w:rsidRPr="007B5281" w:rsidRDefault="0013039B" w:rsidP="007F571A">
            <w:pPr>
              <w:jc w:val="center"/>
              <w:rPr>
                <w:b/>
              </w:rPr>
            </w:pPr>
            <w:r>
              <w:rPr>
                <w:b/>
              </w:rPr>
              <w:t>X</w:t>
            </w:r>
          </w:p>
        </w:tc>
      </w:tr>
      <w:tr w:rsidR="007F571A" w:rsidRPr="008B7380" w:rsidTr="00337DE0">
        <w:trPr>
          <w:trHeight w:val="1457"/>
        </w:trPr>
        <w:tc>
          <w:tcPr>
            <w:tcW w:w="3600" w:type="dxa"/>
            <w:shd w:val="clear" w:color="auto" w:fill="auto"/>
          </w:tcPr>
          <w:p w:rsidR="007F571A" w:rsidRDefault="007F571A" w:rsidP="007F571A">
            <w:pPr>
              <w:rPr>
                <w:b/>
              </w:rPr>
            </w:pPr>
            <w:r w:rsidRPr="007B5281">
              <w:rPr>
                <w:b/>
              </w:rPr>
              <w:t xml:space="preserve">Presenter </w:t>
            </w:r>
            <w:r>
              <w:rPr>
                <w:b/>
              </w:rPr>
              <w:t>– Warren Roberts</w:t>
            </w:r>
          </w:p>
          <w:p w:rsidR="007F571A" w:rsidRDefault="007F571A" w:rsidP="007F571A">
            <w:pPr>
              <w:rPr>
                <w:b/>
              </w:rPr>
            </w:pPr>
          </w:p>
          <w:p w:rsidR="007F571A" w:rsidRPr="007B5281" w:rsidRDefault="007F571A" w:rsidP="007F571A">
            <w:pPr>
              <w:rPr>
                <w:b/>
                <w:i/>
              </w:rPr>
            </w:pPr>
            <w:r>
              <w:rPr>
                <w:b/>
              </w:rPr>
              <w:t xml:space="preserve">Pigeons and Drones </w:t>
            </w:r>
          </w:p>
        </w:tc>
        <w:tc>
          <w:tcPr>
            <w:tcW w:w="8730" w:type="dxa"/>
            <w:shd w:val="clear" w:color="auto" w:fill="auto"/>
          </w:tcPr>
          <w:p w:rsidR="007F571A" w:rsidRPr="007B5281" w:rsidRDefault="007F571A" w:rsidP="007F571A">
            <w:pPr>
              <w:rPr>
                <w:b/>
              </w:rPr>
            </w:pPr>
            <w:r w:rsidRPr="00BC7F59">
              <w:rPr>
                <w:b/>
              </w:rPr>
              <w:t xml:space="preserve">Drones are not a novelty but just another tool in the tool kit. Scaling new tools into education across disciplines is the future here and now but also </w:t>
            </w:r>
            <w:r w:rsidR="00922A0D">
              <w:rPr>
                <w:b/>
              </w:rPr>
              <w:t xml:space="preserve">has </w:t>
            </w:r>
            <w:r w:rsidRPr="00BC7F59">
              <w:rPr>
                <w:b/>
              </w:rPr>
              <w:t xml:space="preserve">had history changing impacts for almost a century. </w:t>
            </w:r>
            <w:r w:rsidR="00922A0D">
              <w:rPr>
                <w:b/>
              </w:rPr>
              <w:t xml:space="preserve">This </w:t>
            </w:r>
            <w:r w:rsidRPr="00BC7F59">
              <w:rPr>
                <w:b/>
              </w:rPr>
              <w:t xml:space="preserve">presentation includes </w:t>
            </w:r>
            <w:r w:rsidR="00922A0D">
              <w:rPr>
                <w:b/>
              </w:rPr>
              <w:t>a history of the</w:t>
            </w:r>
            <w:r w:rsidRPr="00BC7F59">
              <w:rPr>
                <w:b/>
              </w:rPr>
              <w:t xml:space="preserve"> use of drones, game changing applications in many industries today</w:t>
            </w:r>
            <w:r w:rsidR="00922A0D">
              <w:rPr>
                <w:b/>
              </w:rPr>
              <w:t>,</w:t>
            </w:r>
            <w:r w:rsidRPr="00BC7F59">
              <w:rPr>
                <w:b/>
              </w:rPr>
              <w:t xml:space="preserve"> and the legal requirements and restrictions. (Part outdoors) </w:t>
            </w:r>
          </w:p>
        </w:tc>
        <w:tc>
          <w:tcPr>
            <w:tcW w:w="900" w:type="dxa"/>
            <w:shd w:val="clear" w:color="auto" w:fill="auto"/>
          </w:tcPr>
          <w:p w:rsidR="007F571A" w:rsidRDefault="007F571A" w:rsidP="007F571A">
            <w:pPr>
              <w:jc w:val="center"/>
              <w:rPr>
                <w:b/>
              </w:rPr>
            </w:pPr>
          </w:p>
          <w:p w:rsidR="007F571A" w:rsidRDefault="007F571A" w:rsidP="007F571A">
            <w:pPr>
              <w:jc w:val="center"/>
              <w:rPr>
                <w:b/>
              </w:rPr>
            </w:pPr>
          </w:p>
          <w:p w:rsidR="007F571A" w:rsidRPr="007B5281" w:rsidRDefault="003244A7" w:rsidP="007F571A">
            <w:pPr>
              <w:jc w:val="center"/>
              <w:rPr>
                <w:b/>
              </w:rPr>
            </w:pPr>
            <w:r>
              <w:rPr>
                <w:b/>
              </w:rPr>
              <w:t>A212</w:t>
            </w:r>
          </w:p>
        </w:tc>
        <w:tc>
          <w:tcPr>
            <w:tcW w:w="810" w:type="dxa"/>
            <w:shd w:val="clear" w:color="auto" w:fill="auto"/>
          </w:tcPr>
          <w:p w:rsidR="007F571A" w:rsidRDefault="007F571A" w:rsidP="007F571A">
            <w:pPr>
              <w:jc w:val="center"/>
              <w:rPr>
                <w:b/>
              </w:rPr>
            </w:pPr>
          </w:p>
          <w:p w:rsidR="0013039B" w:rsidRDefault="0013039B" w:rsidP="007F571A">
            <w:pPr>
              <w:jc w:val="center"/>
              <w:rPr>
                <w:b/>
              </w:rPr>
            </w:pPr>
          </w:p>
          <w:p w:rsidR="0013039B" w:rsidRDefault="0013039B" w:rsidP="007F571A">
            <w:pPr>
              <w:jc w:val="center"/>
              <w:rPr>
                <w:b/>
              </w:rPr>
            </w:pPr>
            <w:r>
              <w:rPr>
                <w:b/>
              </w:rPr>
              <w:t>X</w:t>
            </w:r>
          </w:p>
        </w:tc>
        <w:tc>
          <w:tcPr>
            <w:tcW w:w="900" w:type="dxa"/>
            <w:shd w:val="clear" w:color="auto" w:fill="auto"/>
          </w:tcPr>
          <w:p w:rsidR="007F571A" w:rsidRDefault="007F571A" w:rsidP="007F571A">
            <w:pPr>
              <w:jc w:val="center"/>
              <w:rPr>
                <w:b/>
              </w:rPr>
            </w:pPr>
          </w:p>
          <w:p w:rsidR="0013039B" w:rsidRDefault="0013039B" w:rsidP="007F571A">
            <w:pPr>
              <w:jc w:val="center"/>
              <w:rPr>
                <w:b/>
              </w:rPr>
            </w:pPr>
          </w:p>
          <w:p w:rsidR="0013039B" w:rsidRPr="007B5281" w:rsidRDefault="0013039B" w:rsidP="007F571A">
            <w:pPr>
              <w:jc w:val="center"/>
              <w:rPr>
                <w:b/>
              </w:rPr>
            </w:pPr>
            <w:r>
              <w:rPr>
                <w:b/>
              </w:rPr>
              <w:t>X</w:t>
            </w:r>
          </w:p>
        </w:tc>
      </w:tr>
      <w:tr w:rsidR="00EA467F" w:rsidRPr="008B7380" w:rsidTr="00E43F7F">
        <w:trPr>
          <w:trHeight w:val="1457"/>
        </w:trPr>
        <w:tc>
          <w:tcPr>
            <w:tcW w:w="3600" w:type="dxa"/>
            <w:shd w:val="clear" w:color="auto" w:fill="auto"/>
          </w:tcPr>
          <w:p w:rsidR="00EA467F" w:rsidRDefault="000B1ABD" w:rsidP="00EA467F">
            <w:pPr>
              <w:rPr>
                <w:b/>
              </w:rPr>
            </w:pPr>
            <w:r>
              <w:rPr>
                <w:b/>
              </w:rPr>
              <w:t>Presenter – Melissa Ri</w:t>
            </w:r>
            <w:r w:rsidR="00EA467F">
              <w:rPr>
                <w:b/>
              </w:rPr>
              <w:t>fino-Juarez &amp; Robert Bethel</w:t>
            </w:r>
          </w:p>
          <w:p w:rsidR="00EA467F" w:rsidRDefault="00EA467F" w:rsidP="00EA467F">
            <w:pPr>
              <w:rPr>
                <w:b/>
              </w:rPr>
            </w:pPr>
          </w:p>
          <w:p w:rsidR="00EA467F" w:rsidRPr="007B5281" w:rsidRDefault="00EA467F" w:rsidP="00EA467F">
            <w:pPr>
              <w:rPr>
                <w:b/>
              </w:rPr>
            </w:pPr>
            <w:r>
              <w:rPr>
                <w:b/>
              </w:rPr>
              <w:t xml:space="preserve">Let’s GROW Rio </w:t>
            </w:r>
          </w:p>
        </w:tc>
        <w:tc>
          <w:tcPr>
            <w:tcW w:w="8730" w:type="dxa"/>
            <w:tcBorders>
              <w:top w:val="single" w:sz="4" w:space="0" w:color="auto"/>
              <w:left w:val="single" w:sz="4" w:space="0" w:color="auto"/>
              <w:bottom w:val="single" w:sz="4" w:space="0" w:color="auto"/>
              <w:right w:val="single" w:sz="4" w:space="0" w:color="auto"/>
            </w:tcBorders>
          </w:tcPr>
          <w:p w:rsidR="00EA467F" w:rsidRPr="00EA467F" w:rsidRDefault="00EA467F" w:rsidP="000B1ABD">
            <w:pPr>
              <w:rPr>
                <w:b/>
                <w:bCs/>
                <w:lang w:eastAsia="ja-JP"/>
              </w:rPr>
            </w:pPr>
            <w:r w:rsidRPr="00EA467F">
              <w:rPr>
                <w:b/>
                <w:bCs/>
                <w:lang w:eastAsia="ja-JP"/>
              </w:rPr>
              <w:t>Calling all gardeners, people who like to play in the dirt or those who want to be outside for part of Flex day.</w:t>
            </w:r>
            <w:r w:rsidR="000B1ABD">
              <w:rPr>
                <w:b/>
                <w:bCs/>
                <w:lang w:eastAsia="ja-JP"/>
              </w:rPr>
              <w:t xml:space="preserve">  </w:t>
            </w:r>
            <w:r w:rsidRPr="00EA467F">
              <w:rPr>
                <w:b/>
                <w:bCs/>
                <w:lang w:eastAsia="ja-JP"/>
              </w:rPr>
              <w:t xml:space="preserve">Join us in planting a vegetable garden on campus as we discuss the many benefits of horticulture.  </w:t>
            </w:r>
            <w:r w:rsidR="000B1ABD">
              <w:rPr>
                <w:b/>
                <w:bCs/>
                <w:lang w:eastAsia="ja-JP"/>
              </w:rPr>
              <w:t xml:space="preserve">While not required, </w:t>
            </w:r>
            <w:r w:rsidRPr="00EA467F">
              <w:rPr>
                <w:b/>
                <w:bCs/>
                <w:lang w:eastAsia="ja-JP"/>
              </w:rPr>
              <w:t>participants may want to bring a pair of gardening gloves. Limited to 16 participants per session.</w:t>
            </w:r>
          </w:p>
        </w:tc>
        <w:tc>
          <w:tcPr>
            <w:tcW w:w="900" w:type="dxa"/>
            <w:shd w:val="clear" w:color="auto" w:fill="auto"/>
          </w:tcPr>
          <w:p w:rsidR="00EA467F" w:rsidRPr="00EA467F" w:rsidRDefault="00EA467F" w:rsidP="00EA467F">
            <w:pPr>
              <w:jc w:val="center"/>
              <w:rPr>
                <w:b/>
                <w:sz w:val="18"/>
                <w:szCs w:val="18"/>
              </w:rPr>
            </w:pPr>
          </w:p>
          <w:p w:rsidR="00EA467F" w:rsidRPr="00EA467F" w:rsidRDefault="000B1ABD" w:rsidP="00EA467F">
            <w:pPr>
              <w:jc w:val="center"/>
              <w:rPr>
                <w:b/>
                <w:sz w:val="18"/>
                <w:szCs w:val="18"/>
              </w:rPr>
            </w:pPr>
            <w:r>
              <w:rPr>
                <w:b/>
                <w:sz w:val="18"/>
                <w:szCs w:val="18"/>
              </w:rPr>
              <w:t>Raised beds south of</w:t>
            </w:r>
          </w:p>
          <w:p w:rsidR="00EA467F" w:rsidRPr="00EA467F" w:rsidRDefault="00EA467F" w:rsidP="00EA467F">
            <w:pPr>
              <w:jc w:val="center"/>
              <w:rPr>
                <w:b/>
                <w:sz w:val="18"/>
                <w:szCs w:val="18"/>
              </w:rPr>
            </w:pPr>
            <w:r w:rsidRPr="00EA467F">
              <w:rPr>
                <w:b/>
                <w:sz w:val="18"/>
                <w:szCs w:val="18"/>
              </w:rPr>
              <w:t>Science Building</w:t>
            </w:r>
          </w:p>
        </w:tc>
        <w:tc>
          <w:tcPr>
            <w:tcW w:w="810" w:type="dxa"/>
            <w:shd w:val="clear" w:color="auto" w:fill="auto"/>
          </w:tcPr>
          <w:p w:rsidR="00EA467F" w:rsidRDefault="00EA467F" w:rsidP="00EA467F">
            <w:pPr>
              <w:jc w:val="center"/>
              <w:rPr>
                <w:b/>
              </w:rPr>
            </w:pPr>
          </w:p>
          <w:p w:rsidR="00EA467F" w:rsidRDefault="00EA467F" w:rsidP="00EA467F">
            <w:pPr>
              <w:jc w:val="center"/>
              <w:rPr>
                <w:b/>
              </w:rPr>
            </w:pPr>
          </w:p>
          <w:p w:rsidR="00EA467F" w:rsidRDefault="00EA467F" w:rsidP="00EA467F">
            <w:pPr>
              <w:jc w:val="center"/>
              <w:rPr>
                <w:b/>
              </w:rPr>
            </w:pPr>
            <w:r>
              <w:rPr>
                <w:b/>
              </w:rPr>
              <w:t>X</w:t>
            </w:r>
          </w:p>
        </w:tc>
        <w:tc>
          <w:tcPr>
            <w:tcW w:w="900" w:type="dxa"/>
            <w:shd w:val="clear" w:color="auto" w:fill="auto"/>
          </w:tcPr>
          <w:p w:rsidR="00EA467F" w:rsidRDefault="00EA467F" w:rsidP="00EA467F">
            <w:pPr>
              <w:jc w:val="center"/>
              <w:rPr>
                <w:b/>
              </w:rPr>
            </w:pPr>
          </w:p>
          <w:p w:rsidR="00EA467F" w:rsidRDefault="00EA467F" w:rsidP="00EA467F">
            <w:pPr>
              <w:jc w:val="center"/>
              <w:rPr>
                <w:b/>
              </w:rPr>
            </w:pPr>
          </w:p>
          <w:p w:rsidR="00EA467F" w:rsidRPr="007B5281" w:rsidRDefault="00EA467F" w:rsidP="00EA467F">
            <w:pPr>
              <w:jc w:val="center"/>
              <w:rPr>
                <w:b/>
              </w:rPr>
            </w:pPr>
            <w:r>
              <w:rPr>
                <w:b/>
              </w:rPr>
              <w:t>X</w:t>
            </w:r>
          </w:p>
        </w:tc>
      </w:tr>
      <w:tr w:rsidR="00EA467F" w:rsidRPr="008B7380" w:rsidTr="00337DE0">
        <w:trPr>
          <w:trHeight w:val="1457"/>
        </w:trPr>
        <w:tc>
          <w:tcPr>
            <w:tcW w:w="3600" w:type="dxa"/>
            <w:shd w:val="clear" w:color="auto" w:fill="auto"/>
          </w:tcPr>
          <w:p w:rsidR="00EA467F" w:rsidRDefault="00EA467F" w:rsidP="00EA467F">
            <w:pPr>
              <w:rPr>
                <w:b/>
              </w:rPr>
            </w:pPr>
            <w:r w:rsidRPr="007B5281">
              <w:rPr>
                <w:b/>
              </w:rPr>
              <w:lastRenderedPageBreak/>
              <w:t xml:space="preserve">Presenter – </w:t>
            </w:r>
            <w:r>
              <w:rPr>
                <w:b/>
              </w:rPr>
              <w:t xml:space="preserve">Sheila Lynch &amp; Karen Beck </w:t>
            </w:r>
          </w:p>
          <w:p w:rsidR="00EA467F" w:rsidRDefault="00EA467F" w:rsidP="00EA467F">
            <w:pPr>
              <w:rPr>
                <w:b/>
              </w:rPr>
            </w:pPr>
          </w:p>
          <w:p w:rsidR="00EA467F" w:rsidRPr="007B5281" w:rsidRDefault="00EA467F" w:rsidP="00EA467F">
            <w:pPr>
              <w:rPr>
                <w:b/>
                <w:i/>
              </w:rPr>
            </w:pPr>
            <w:r>
              <w:rPr>
                <w:b/>
              </w:rPr>
              <w:t xml:space="preserve">OER Part 1 – The Open Educational Resources Movement at RHC </w:t>
            </w:r>
          </w:p>
        </w:tc>
        <w:tc>
          <w:tcPr>
            <w:tcW w:w="8730" w:type="dxa"/>
            <w:shd w:val="clear" w:color="auto" w:fill="auto"/>
          </w:tcPr>
          <w:p w:rsidR="00EA467F" w:rsidRPr="007F571A" w:rsidRDefault="00EA467F" w:rsidP="00EA467F">
            <w:pPr>
              <w:rPr>
                <w:b/>
                <w:bCs/>
                <w:sz w:val="22"/>
                <w:szCs w:val="22"/>
              </w:rPr>
            </w:pPr>
            <w:r w:rsidRPr="007F571A">
              <w:rPr>
                <w:b/>
                <w:bCs/>
                <w:sz w:val="22"/>
                <w:szCs w:val="22"/>
              </w:rPr>
              <w:t>Join the OER revolution! Take control of your course materials and give students learning resources they will actually use . . . from the very first day of class! Find out how colleagues are replacing commercial textbooks by customizing their own course materials while reducing the high cost of education for students in the process. This session provides a snapshot of RHC’s participation in the Open Educational Resources (OER) movement, showcases OER developed by RHC faculty, and offers resources for adapting OER for your own courses. Q&amp;A included! (See OER Part II in Session 2.)</w:t>
            </w:r>
          </w:p>
        </w:tc>
        <w:tc>
          <w:tcPr>
            <w:tcW w:w="900" w:type="dxa"/>
            <w:shd w:val="clear" w:color="auto" w:fill="auto"/>
          </w:tcPr>
          <w:p w:rsidR="00EA467F" w:rsidRDefault="00EA467F" w:rsidP="00EA467F">
            <w:pPr>
              <w:jc w:val="center"/>
              <w:rPr>
                <w:b/>
              </w:rPr>
            </w:pPr>
          </w:p>
          <w:p w:rsidR="00EA467F" w:rsidRDefault="00EA467F" w:rsidP="00EA467F">
            <w:pPr>
              <w:jc w:val="center"/>
              <w:rPr>
                <w:b/>
              </w:rPr>
            </w:pPr>
          </w:p>
          <w:p w:rsidR="00EA467F" w:rsidRPr="007B5281" w:rsidRDefault="00EA467F" w:rsidP="00EA467F">
            <w:pPr>
              <w:jc w:val="center"/>
              <w:rPr>
                <w:b/>
              </w:rPr>
            </w:pPr>
            <w:r>
              <w:rPr>
                <w:b/>
              </w:rPr>
              <w:t>A230</w:t>
            </w:r>
          </w:p>
        </w:tc>
        <w:tc>
          <w:tcPr>
            <w:tcW w:w="810" w:type="dxa"/>
            <w:shd w:val="clear" w:color="auto" w:fill="auto"/>
          </w:tcPr>
          <w:p w:rsidR="00EA467F" w:rsidRDefault="00EA467F" w:rsidP="00EA467F">
            <w:pPr>
              <w:jc w:val="center"/>
              <w:rPr>
                <w:b/>
              </w:rPr>
            </w:pPr>
          </w:p>
          <w:p w:rsidR="00EA467F" w:rsidRDefault="00EA467F" w:rsidP="00EA467F">
            <w:pPr>
              <w:jc w:val="center"/>
              <w:rPr>
                <w:b/>
              </w:rPr>
            </w:pPr>
          </w:p>
          <w:p w:rsidR="00EA467F" w:rsidRDefault="00EA467F" w:rsidP="00EA467F">
            <w:pPr>
              <w:jc w:val="center"/>
              <w:rPr>
                <w:b/>
              </w:rPr>
            </w:pPr>
            <w:r>
              <w:rPr>
                <w:b/>
              </w:rPr>
              <w:t>X</w:t>
            </w:r>
          </w:p>
        </w:tc>
        <w:tc>
          <w:tcPr>
            <w:tcW w:w="900" w:type="dxa"/>
            <w:shd w:val="clear" w:color="auto" w:fill="auto"/>
          </w:tcPr>
          <w:p w:rsidR="00EA467F" w:rsidRPr="007B5281" w:rsidRDefault="00EA467F" w:rsidP="00EA467F">
            <w:pPr>
              <w:jc w:val="center"/>
              <w:rPr>
                <w:b/>
              </w:rPr>
            </w:pPr>
          </w:p>
        </w:tc>
      </w:tr>
      <w:tr w:rsidR="00EA467F" w:rsidRPr="008B7380" w:rsidTr="00337DE0">
        <w:trPr>
          <w:trHeight w:val="1457"/>
        </w:trPr>
        <w:tc>
          <w:tcPr>
            <w:tcW w:w="3600" w:type="dxa"/>
            <w:shd w:val="clear" w:color="auto" w:fill="auto"/>
          </w:tcPr>
          <w:p w:rsidR="00EA467F" w:rsidRDefault="00EA467F" w:rsidP="00EA467F">
            <w:pPr>
              <w:rPr>
                <w:b/>
              </w:rPr>
            </w:pPr>
            <w:r>
              <w:rPr>
                <w:b/>
              </w:rPr>
              <w:t>Presenter – Michelle Bean &amp; Michelle Pilati</w:t>
            </w:r>
          </w:p>
          <w:p w:rsidR="00EA467F" w:rsidRDefault="00EA467F" w:rsidP="00EA467F">
            <w:pPr>
              <w:rPr>
                <w:b/>
              </w:rPr>
            </w:pPr>
          </w:p>
          <w:p w:rsidR="00EA467F" w:rsidRPr="007B5281" w:rsidRDefault="00EA467F" w:rsidP="00EA467F">
            <w:pPr>
              <w:rPr>
                <w:b/>
              </w:rPr>
            </w:pPr>
            <w:r>
              <w:rPr>
                <w:b/>
              </w:rPr>
              <w:t xml:space="preserve">Minimum Qualifications (MQs_, Equivalencies, and Assigning Courses to Disciplines – RHC Policies and Practices </w:t>
            </w:r>
          </w:p>
        </w:tc>
        <w:tc>
          <w:tcPr>
            <w:tcW w:w="8730" w:type="dxa"/>
            <w:shd w:val="clear" w:color="auto" w:fill="auto"/>
          </w:tcPr>
          <w:p w:rsidR="00EA467F" w:rsidRPr="007B5281" w:rsidRDefault="00EA467F" w:rsidP="00EA467F">
            <w:pPr>
              <w:rPr>
                <w:b/>
              </w:rPr>
            </w:pPr>
            <w:r>
              <w:rPr>
                <w:b/>
              </w:rPr>
              <w:t xml:space="preserve">Efforts are underway to clarify and codify how equivalencies to the MQs are handled at RHC. In addition, establishing a process for assigning courses to disciplines is underway. What does this mean – and how will it impact you? Join us for an overview of proposed new policies and practices – and the potential intended – and unintended – consequences. </w:t>
            </w:r>
          </w:p>
        </w:tc>
        <w:tc>
          <w:tcPr>
            <w:tcW w:w="900" w:type="dxa"/>
            <w:shd w:val="clear" w:color="auto" w:fill="auto"/>
          </w:tcPr>
          <w:p w:rsidR="00EA467F" w:rsidRPr="007B5281" w:rsidRDefault="00EA467F" w:rsidP="00EA467F">
            <w:pPr>
              <w:jc w:val="center"/>
              <w:rPr>
                <w:b/>
              </w:rPr>
            </w:pPr>
          </w:p>
          <w:p w:rsidR="00EA467F" w:rsidRDefault="00EA467F" w:rsidP="00EA467F">
            <w:pPr>
              <w:jc w:val="center"/>
              <w:rPr>
                <w:b/>
              </w:rPr>
            </w:pPr>
          </w:p>
          <w:p w:rsidR="00EA467F" w:rsidRDefault="00EA467F" w:rsidP="00EA467F">
            <w:pPr>
              <w:jc w:val="center"/>
              <w:rPr>
                <w:b/>
              </w:rPr>
            </w:pPr>
          </w:p>
          <w:p w:rsidR="00EA467F" w:rsidRPr="007B5281" w:rsidRDefault="00EA467F" w:rsidP="00EA467F">
            <w:pPr>
              <w:jc w:val="center"/>
              <w:rPr>
                <w:b/>
              </w:rPr>
            </w:pPr>
            <w:r>
              <w:rPr>
                <w:b/>
              </w:rPr>
              <w:t>A228</w:t>
            </w:r>
          </w:p>
        </w:tc>
        <w:tc>
          <w:tcPr>
            <w:tcW w:w="810" w:type="dxa"/>
            <w:shd w:val="clear" w:color="auto" w:fill="auto"/>
          </w:tcPr>
          <w:p w:rsidR="00EA467F" w:rsidRDefault="00EA467F" w:rsidP="00EA467F">
            <w:pPr>
              <w:jc w:val="center"/>
              <w:rPr>
                <w:b/>
              </w:rPr>
            </w:pPr>
          </w:p>
          <w:p w:rsidR="00EA467F" w:rsidRPr="007B5281" w:rsidRDefault="00EA467F" w:rsidP="00EA467F">
            <w:pPr>
              <w:jc w:val="center"/>
              <w:rPr>
                <w:b/>
              </w:rPr>
            </w:pPr>
            <w:r w:rsidRPr="007B5281">
              <w:rPr>
                <w:b/>
                <w:sz w:val="20"/>
                <w:szCs w:val="20"/>
              </w:rPr>
              <w:t xml:space="preserve"> </w:t>
            </w:r>
          </w:p>
          <w:p w:rsidR="00EA467F" w:rsidRDefault="00EA467F" w:rsidP="00EA467F">
            <w:pPr>
              <w:jc w:val="center"/>
              <w:rPr>
                <w:b/>
              </w:rPr>
            </w:pPr>
          </w:p>
          <w:p w:rsidR="00EA467F" w:rsidRPr="007B5281" w:rsidRDefault="00EA467F" w:rsidP="00EA467F">
            <w:pPr>
              <w:jc w:val="center"/>
              <w:rPr>
                <w:b/>
              </w:rPr>
            </w:pPr>
            <w:r>
              <w:rPr>
                <w:b/>
              </w:rPr>
              <w:t>X</w:t>
            </w:r>
          </w:p>
        </w:tc>
        <w:tc>
          <w:tcPr>
            <w:tcW w:w="900" w:type="dxa"/>
            <w:shd w:val="clear" w:color="auto" w:fill="auto"/>
          </w:tcPr>
          <w:p w:rsidR="00EA467F" w:rsidRPr="007B5281" w:rsidRDefault="00EA467F" w:rsidP="00EA467F">
            <w:pPr>
              <w:jc w:val="center"/>
              <w:rPr>
                <w:b/>
              </w:rPr>
            </w:pPr>
          </w:p>
          <w:p w:rsidR="00EA467F" w:rsidRDefault="00EA467F" w:rsidP="00EA467F">
            <w:pPr>
              <w:jc w:val="center"/>
              <w:rPr>
                <w:b/>
              </w:rPr>
            </w:pPr>
          </w:p>
          <w:p w:rsidR="00EA467F" w:rsidRDefault="00EA467F" w:rsidP="00EA467F">
            <w:pPr>
              <w:jc w:val="center"/>
              <w:rPr>
                <w:b/>
              </w:rPr>
            </w:pPr>
          </w:p>
          <w:p w:rsidR="00EA467F" w:rsidRPr="007B5281" w:rsidRDefault="00EA467F" w:rsidP="00EA467F">
            <w:pPr>
              <w:jc w:val="center"/>
              <w:rPr>
                <w:b/>
              </w:rPr>
            </w:pPr>
          </w:p>
        </w:tc>
      </w:tr>
      <w:tr w:rsidR="00EA467F" w:rsidTr="00922A0D">
        <w:trPr>
          <w:trHeight w:val="1223"/>
        </w:trPr>
        <w:tc>
          <w:tcPr>
            <w:tcW w:w="3600" w:type="dxa"/>
            <w:shd w:val="clear" w:color="auto" w:fill="auto"/>
          </w:tcPr>
          <w:p w:rsidR="00EA467F" w:rsidRDefault="00EA467F" w:rsidP="00EA467F">
            <w:pPr>
              <w:pStyle w:val="BodyText2"/>
              <w:rPr>
                <w:rFonts w:ascii="Times New Roman" w:hAnsi="Times New Roman" w:cs="Times New Roman"/>
                <w:bCs w:val="0"/>
                <w:i w:val="0"/>
                <w:iCs w:val="0"/>
                <w:sz w:val="24"/>
              </w:rPr>
            </w:pPr>
            <w:r w:rsidRPr="007B5281">
              <w:rPr>
                <w:rFonts w:ascii="Times New Roman" w:hAnsi="Times New Roman" w:cs="Times New Roman"/>
                <w:bCs w:val="0"/>
                <w:i w:val="0"/>
                <w:iCs w:val="0"/>
                <w:sz w:val="24"/>
              </w:rPr>
              <w:t>Presenter –</w:t>
            </w:r>
            <w:r>
              <w:rPr>
                <w:rFonts w:ascii="Times New Roman" w:hAnsi="Times New Roman" w:cs="Times New Roman"/>
                <w:bCs w:val="0"/>
                <w:i w:val="0"/>
                <w:iCs w:val="0"/>
                <w:sz w:val="24"/>
              </w:rPr>
              <w:t xml:space="preserve"> Michelle Pilati &amp; Sheila Lynch </w:t>
            </w:r>
          </w:p>
          <w:p w:rsidR="00EA467F" w:rsidRDefault="00EA467F" w:rsidP="00EA467F">
            <w:pPr>
              <w:pStyle w:val="BodyText2"/>
              <w:rPr>
                <w:rFonts w:ascii="Times New Roman" w:hAnsi="Times New Roman" w:cs="Times New Roman"/>
                <w:bCs w:val="0"/>
                <w:i w:val="0"/>
                <w:iCs w:val="0"/>
                <w:sz w:val="24"/>
              </w:rPr>
            </w:pPr>
          </w:p>
          <w:p w:rsidR="00EA467F" w:rsidRPr="007B5281" w:rsidRDefault="00EA467F" w:rsidP="00EA467F">
            <w:pPr>
              <w:pStyle w:val="BodyText2"/>
              <w:rPr>
                <w:rFonts w:ascii="Times New Roman" w:hAnsi="Times New Roman" w:cs="Times New Roman"/>
                <w:bCs w:val="0"/>
                <w:iCs w:val="0"/>
                <w:sz w:val="24"/>
              </w:rPr>
            </w:pPr>
            <w:r>
              <w:rPr>
                <w:rFonts w:ascii="Times New Roman" w:hAnsi="Times New Roman" w:cs="Times New Roman"/>
                <w:bCs w:val="0"/>
                <w:i w:val="0"/>
                <w:iCs w:val="0"/>
                <w:sz w:val="24"/>
              </w:rPr>
              <w:t xml:space="preserve">OER Part 2 – The Future OER </w:t>
            </w:r>
          </w:p>
        </w:tc>
        <w:tc>
          <w:tcPr>
            <w:tcW w:w="8730" w:type="dxa"/>
          </w:tcPr>
          <w:p w:rsidR="00EA467F" w:rsidRPr="00BC7F59" w:rsidRDefault="00EA467F" w:rsidP="00EA467F">
            <w:pPr>
              <w:rPr>
                <w:rFonts w:ascii="Franklin Gothic Book" w:hAnsi="Franklin Gothic Book"/>
                <w:b/>
                <w:bCs/>
              </w:rPr>
            </w:pPr>
            <w:r w:rsidRPr="00BC7F59">
              <w:rPr>
                <w:b/>
              </w:rPr>
              <w:t>How do we move from OER as a nice idea - to OER as ubiquitous? And why should this be a statewide goal? Join us for a discussion of how and why - and an introduction to the ASCCC's OER Initiative and what it can do for you. (See OER Part I in Session 1)</w:t>
            </w:r>
          </w:p>
        </w:tc>
        <w:tc>
          <w:tcPr>
            <w:tcW w:w="900" w:type="dxa"/>
            <w:shd w:val="clear" w:color="auto" w:fill="auto"/>
          </w:tcPr>
          <w:p w:rsidR="00EA467F" w:rsidRPr="007B5281" w:rsidRDefault="00EA467F" w:rsidP="00EA467F">
            <w:pPr>
              <w:jc w:val="center"/>
              <w:rPr>
                <w:b/>
              </w:rPr>
            </w:pPr>
          </w:p>
          <w:p w:rsidR="00EA467F" w:rsidRPr="007B5281" w:rsidRDefault="00EA467F" w:rsidP="00EA467F">
            <w:pPr>
              <w:jc w:val="center"/>
              <w:rPr>
                <w:b/>
              </w:rPr>
            </w:pPr>
          </w:p>
          <w:p w:rsidR="00EA467F" w:rsidRPr="007B5281" w:rsidRDefault="00EA467F" w:rsidP="00EA467F">
            <w:pPr>
              <w:jc w:val="center"/>
              <w:rPr>
                <w:b/>
              </w:rPr>
            </w:pPr>
            <w:r w:rsidRPr="007B5281">
              <w:rPr>
                <w:b/>
              </w:rPr>
              <w:t>A2</w:t>
            </w:r>
            <w:r>
              <w:rPr>
                <w:b/>
              </w:rPr>
              <w:t>30</w:t>
            </w:r>
          </w:p>
          <w:p w:rsidR="00EA467F" w:rsidRPr="007B5281" w:rsidRDefault="00EA467F" w:rsidP="00EA467F">
            <w:pPr>
              <w:jc w:val="center"/>
              <w:rPr>
                <w:b/>
              </w:rPr>
            </w:pPr>
          </w:p>
          <w:p w:rsidR="00EA467F" w:rsidRPr="007B5281" w:rsidRDefault="00EA467F" w:rsidP="00EA467F">
            <w:pPr>
              <w:jc w:val="center"/>
              <w:rPr>
                <w:b/>
              </w:rPr>
            </w:pPr>
          </w:p>
        </w:tc>
        <w:tc>
          <w:tcPr>
            <w:tcW w:w="810" w:type="dxa"/>
            <w:shd w:val="clear" w:color="auto" w:fill="auto"/>
          </w:tcPr>
          <w:p w:rsidR="00EA467F" w:rsidRPr="007B5281" w:rsidRDefault="00EA467F" w:rsidP="00EA467F">
            <w:pPr>
              <w:rPr>
                <w:b/>
              </w:rPr>
            </w:pPr>
            <w:r w:rsidRPr="007B5281">
              <w:rPr>
                <w:b/>
              </w:rPr>
              <w:t xml:space="preserve">  </w:t>
            </w:r>
          </w:p>
          <w:p w:rsidR="00EA467F" w:rsidRPr="007B5281" w:rsidRDefault="00EA467F" w:rsidP="00EA467F">
            <w:pPr>
              <w:rPr>
                <w:b/>
              </w:rPr>
            </w:pPr>
          </w:p>
          <w:p w:rsidR="00EA467F" w:rsidRPr="007B5281" w:rsidRDefault="00EA467F" w:rsidP="00EA467F">
            <w:pPr>
              <w:rPr>
                <w:b/>
              </w:rPr>
            </w:pPr>
            <w:r w:rsidRPr="007B5281">
              <w:rPr>
                <w:b/>
              </w:rPr>
              <w:t xml:space="preserve"> </w:t>
            </w:r>
          </w:p>
        </w:tc>
        <w:tc>
          <w:tcPr>
            <w:tcW w:w="900" w:type="dxa"/>
            <w:shd w:val="clear" w:color="auto" w:fill="auto"/>
          </w:tcPr>
          <w:p w:rsidR="00EA467F" w:rsidRDefault="00EA467F" w:rsidP="00EA467F">
            <w:pPr>
              <w:rPr>
                <w:b/>
              </w:rPr>
            </w:pPr>
          </w:p>
          <w:p w:rsidR="00EA467F" w:rsidRDefault="00EA467F" w:rsidP="00EA467F">
            <w:pPr>
              <w:rPr>
                <w:b/>
              </w:rPr>
            </w:pPr>
          </w:p>
          <w:p w:rsidR="00EA467F" w:rsidRDefault="00EA467F" w:rsidP="00EA467F">
            <w:pPr>
              <w:rPr>
                <w:b/>
              </w:rPr>
            </w:pPr>
            <w:r>
              <w:rPr>
                <w:b/>
              </w:rPr>
              <w:t xml:space="preserve">   X</w:t>
            </w:r>
          </w:p>
          <w:p w:rsidR="00EA467F" w:rsidRPr="007B5281" w:rsidRDefault="00EA467F" w:rsidP="00EA467F">
            <w:pPr>
              <w:rPr>
                <w:b/>
              </w:rPr>
            </w:pPr>
          </w:p>
        </w:tc>
      </w:tr>
      <w:tr w:rsidR="00EA467F" w:rsidTr="00337DE0">
        <w:trPr>
          <w:trHeight w:val="1637"/>
        </w:trPr>
        <w:tc>
          <w:tcPr>
            <w:tcW w:w="3600" w:type="dxa"/>
            <w:shd w:val="clear" w:color="auto" w:fill="auto"/>
          </w:tcPr>
          <w:p w:rsidR="00EA467F" w:rsidRDefault="00EA467F" w:rsidP="00EA467F">
            <w:pPr>
              <w:pStyle w:val="BodyText2"/>
              <w:rPr>
                <w:rFonts w:ascii="Times New Roman" w:hAnsi="Times New Roman" w:cs="Times New Roman"/>
                <w:bCs w:val="0"/>
                <w:i w:val="0"/>
                <w:iCs w:val="0"/>
                <w:sz w:val="24"/>
              </w:rPr>
            </w:pPr>
            <w:r>
              <w:rPr>
                <w:rFonts w:ascii="Times New Roman" w:hAnsi="Times New Roman" w:cs="Times New Roman"/>
                <w:bCs w:val="0"/>
                <w:i w:val="0"/>
                <w:iCs w:val="0"/>
                <w:sz w:val="24"/>
              </w:rPr>
              <w:t xml:space="preserve">Presenter – Michelle Bean &amp; Fran Cummings </w:t>
            </w:r>
          </w:p>
          <w:p w:rsidR="00EA467F" w:rsidRDefault="00EA467F" w:rsidP="00EA467F">
            <w:pPr>
              <w:pStyle w:val="BodyText2"/>
              <w:rPr>
                <w:rFonts w:ascii="Times New Roman" w:hAnsi="Times New Roman" w:cs="Times New Roman"/>
                <w:bCs w:val="0"/>
                <w:i w:val="0"/>
                <w:iCs w:val="0"/>
                <w:sz w:val="24"/>
              </w:rPr>
            </w:pPr>
          </w:p>
          <w:p w:rsidR="00EA467F" w:rsidRDefault="00EA467F" w:rsidP="00EA467F">
            <w:pPr>
              <w:pStyle w:val="BodyText2"/>
              <w:rPr>
                <w:rFonts w:ascii="Times New Roman" w:hAnsi="Times New Roman" w:cs="Times New Roman"/>
                <w:bCs w:val="0"/>
                <w:i w:val="0"/>
                <w:iCs w:val="0"/>
                <w:sz w:val="24"/>
              </w:rPr>
            </w:pPr>
            <w:r>
              <w:rPr>
                <w:rFonts w:ascii="Times New Roman" w:hAnsi="Times New Roman" w:cs="Times New Roman"/>
                <w:bCs w:val="0"/>
                <w:i w:val="0"/>
                <w:iCs w:val="0"/>
                <w:sz w:val="24"/>
              </w:rPr>
              <w:t xml:space="preserve">MQs and Equivalencies Part 2 – The Who, What, How, and Why of Equivalencies </w:t>
            </w:r>
          </w:p>
        </w:tc>
        <w:tc>
          <w:tcPr>
            <w:tcW w:w="8730" w:type="dxa"/>
          </w:tcPr>
          <w:p w:rsidR="00EA467F" w:rsidRDefault="00EA467F" w:rsidP="00EA467F">
            <w:pPr>
              <w:rPr>
                <w:b/>
              </w:rPr>
            </w:pPr>
            <w:r>
              <w:rPr>
                <w:b/>
              </w:rPr>
              <w:t>What does a “good” equivalency look like? How does one determine whether or not an equivalency is equivalent? Join us for a look at sample equivalencies and a discussion of how to assess their appropriateness</w:t>
            </w:r>
          </w:p>
        </w:tc>
        <w:tc>
          <w:tcPr>
            <w:tcW w:w="900" w:type="dxa"/>
            <w:shd w:val="clear" w:color="auto" w:fill="auto"/>
          </w:tcPr>
          <w:p w:rsidR="00EA467F" w:rsidRDefault="00EA467F" w:rsidP="00EA467F">
            <w:pPr>
              <w:jc w:val="center"/>
              <w:rPr>
                <w:b/>
              </w:rPr>
            </w:pPr>
          </w:p>
          <w:p w:rsidR="00EA467F" w:rsidRDefault="00EA467F" w:rsidP="00EA467F">
            <w:pPr>
              <w:jc w:val="center"/>
              <w:rPr>
                <w:b/>
              </w:rPr>
            </w:pPr>
          </w:p>
          <w:p w:rsidR="00EA467F" w:rsidRDefault="00EA467F" w:rsidP="00EA467F">
            <w:pPr>
              <w:jc w:val="center"/>
              <w:rPr>
                <w:b/>
              </w:rPr>
            </w:pPr>
            <w:r>
              <w:rPr>
                <w:b/>
              </w:rPr>
              <w:t>A228</w:t>
            </w:r>
          </w:p>
        </w:tc>
        <w:tc>
          <w:tcPr>
            <w:tcW w:w="810" w:type="dxa"/>
            <w:shd w:val="clear" w:color="auto" w:fill="auto"/>
          </w:tcPr>
          <w:p w:rsidR="00EA467F" w:rsidRDefault="00EA467F" w:rsidP="00EA467F">
            <w:pPr>
              <w:rPr>
                <w:b/>
              </w:rPr>
            </w:pPr>
          </w:p>
        </w:tc>
        <w:tc>
          <w:tcPr>
            <w:tcW w:w="900" w:type="dxa"/>
            <w:shd w:val="clear" w:color="auto" w:fill="auto"/>
          </w:tcPr>
          <w:p w:rsidR="00EA467F" w:rsidRDefault="00EA467F" w:rsidP="00EA467F">
            <w:pPr>
              <w:rPr>
                <w:b/>
              </w:rPr>
            </w:pPr>
          </w:p>
          <w:p w:rsidR="00EA467F" w:rsidRDefault="00EA467F" w:rsidP="00EA467F">
            <w:pPr>
              <w:rPr>
                <w:b/>
              </w:rPr>
            </w:pPr>
          </w:p>
          <w:p w:rsidR="00EA467F" w:rsidRDefault="00EA467F" w:rsidP="00EA467F">
            <w:pPr>
              <w:rPr>
                <w:b/>
              </w:rPr>
            </w:pPr>
            <w:r>
              <w:rPr>
                <w:b/>
              </w:rPr>
              <w:t xml:space="preserve">  X</w:t>
            </w:r>
          </w:p>
        </w:tc>
      </w:tr>
      <w:tr w:rsidR="00EA467F" w:rsidTr="00337DE0">
        <w:trPr>
          <w:trHeight w:val="1637"/>
        </w:trPr>
        <w:tc>
          <w:tcPr>
            <w:tcW w:w="3600" w:type="dxa"/>
            <w:shd w:val="clear" w:color="auto" w:fill="auto"/>
          </w:tcPr>
          <w:p w:rsidR="00EA467F" w:rsidRDefault="00EA467F" w:rsidP="00EA467F">
            <w:pPr>
              <w:pStyle w:val="BodyText2"/>
              <w:rPr>
                <w:rFonts w:ascii="Times New Roman" w:hAnsi="Times New Roman" w:cs="Times New Roman"/>
                <w:bCs w:val="0"/>
                <w:i w:val="0"/>
                <w:iCs w:val="0"/>
                <w:sz w:val="24"/>
              </w:rPr>
            </w:pPr>
            <w:r>
              <w:rPr>
                <w:rFonts w:ascii="Times New Roman" w:hAnsi="Times New Roman" w:cs="Times New Roman"/>
                <w:bCs w:val="0"/>
                <w:i w:val="0"/>
                <w:iCs w:val="0"/>
                <w:sz w:val="24"/>
              </w:rPr>
              <w:lastRenderedPageBreak/>
              <w:t>Presenter – Cecilia Rocha, Juana Mora, &amp; Anthony Delgado</w:t>
            </w:r>
          </w:p>
          <w:p w:rsidR="00EA467F" w:rsidRDefault="00EA467F" w:rsidP="00EA467F">
            <w:pPr>
              <w:pStyle w:val="BodyText2"/>
              <w:rPr>
                <w:rFonts w:ascii="Times New Roman" w:hAnsi="Times New Roman" w:cs="Times New Roman"/>
                <w:bCs w:val="0"/>
                <w:i w:val="0"/>
                <w:iCs w:val="0"/>
                <w:sz w:val="24"/>
              </w:rPr>
            </w:pPr>
          </w:p>
          <w:p w:rsidR="00EA467F" w:rsidRDefault="00EA467F" w:rsidP="00EA467F">
            <w:pPr>
              <w:pStyle w:val="BodyText2"/>
              <w:rPr>
                <w:rFonts w:ascii="Times New Roman" w:hAnsi="Times New Roman" w:cs="Times New Roman"/>
                <w:bCs w:val="0"/>
                <w:i w:val="0"/>
                <w:iCs w:val="0"/>
                <w:sz w:val="24"/>
              </w:rPr>
            </w:pPr>
            <w:r>
              <w:rPr>
                <w:rFonts w:ascii="Times New Roman" w:hAnsi="Times New Roman" w:cs="Times New Roman"/>
                <w:bCs w:val="0"/>
                <w:i w:val="0"/>
                <w:iCs w:val="0"/>
                <w:sz w:val="24"/>
              </w:rPr>
              <w:t>Demystifying Student Equity Research at Rio Hondo: Legislative Mandates  and Our Plan</w:t>
            </w:r>
          </w:p>
        </w:tc>
        <w:tc>
          <w:tcPr>
            <w:tcW w:w="8730" w:type="dxa"/>
          </w:tcPr>
          <w:p w:rsidR="00EA467F" w:rsidRDefault="00EA467F" w:rsidP="00EA467F">
            <w:pPr>
              <w:rPr>
                <w:b/>
              </w:rPr>
            </w:pPr>
            <w:r>
              <w:rPr>
                <w:b/>
              </w:rPr>
              <w:t xml:space="preserve">We will provide an explanation of the following: The methods to measure equity gaps, a description of the metrics that will be used, and preliminary data on our equity gaps </w:t>
            </w:r>
          </w:p>
        </w:tc>
        <w:tc>
          <w:tcPr>
            <w:tcW w:w="900" w:type="dxa"/>
            <w:shd w:val="clear" w:color="auto" w:fill="auto"/>
          </w:tcPr>
          <w:p w:rsidR="00EA467F" w:rsidRDefault="00EA467F" w:rsidP="00EA467F">
            <w:pPr>
              <w:jc w:val="center"/>
              <w:rPr>
                <w:b/>
              </w:rPr>
            </w:pPr>
          </w:p>
          <w:p w:rsidR="00EA467F" w:rsidRDefault="00EA467F" w:rsidP="00EA467F">
            <w:pPr>
              <w:jc w:val="center"/>
              <w:rPr>
                <w:b/>
              </w:rPr>
            </w:pPr>
          </w:p>
          <w:p w:rsidR="00EA467F" w:rsidRDefault="003244A7" w:rsidP="00EA467F">
            <w:pPr>
              <w:jc w:val="center"/>
              <w:rPr>
                <w:b/>
              </w:rPr>
            </w:pPr>
            <w:r>
              <w:rPr>
                <w:b/>
              </w:rPr>
              <w:t>A229</w:t>
            </w:r>
            <w:r w:rsidR="00EA467F">
              <w:rPr>
                <w:b/>
              </w:rPr>
              <w:t xml:space="preserve"> </w:t>
            </w:r>
          </w:p>
        </w:tc>
        <w:tc>
          <w:tcPr>
            <w:tcW w:w="810" w:type="dxa"/>
            <w:shd w:val="clear" w:color="auto" w:fill="auto"/>
          </w:tcPr>
          <w:p w:rsidR="00EA467F" w:rsidRDefault="00EA467F" w:rsidP="00EA467F">
            <w:pPr>
              <w:rPr>
                <w:b/>
              </w:rPr>
            </w:pPr>
          </w:p>
        </w:tc>
        <w:tc>
          <w:tcPr>
            <w:tcW w:w="900" w:type="dxa"/>
            <w:shd w:val="clear" w:color="auto" w:fill="auto"/>
          </w:tcPr>
          <w:p w:rsidR="00EA467F" w:rsidRDefault="00EA467F" w:rsidP="00EA467F">
            <w:pPr>
              <w:rPr>
                <w:b/>
              </w:rPr>
            </w:pPr>
          </w:p>
          <w:p w:rsidR="00EA467F" w:rsidRDefault="00EA467F" w:rsidP="00EA467F">
            <w:pPr>
              <w:rPr>
                <w:b/>
              </w:rPr>
            </w:pPr>
          </w:p>
          <w:p w:rsidR="00EA467F" w:rsidRDefault="00EA467F" w:rsidP="00EA467F">
            <w:pPr>
              <w:rPr>
                <w:b/>
              </w:rPr>
            </w:pPr>
            <w:r>
              <w:rPr>
                <w:b/>
              </w:rPr>
              <w:t xml:space="preserve">  X</w:t>
            </w:r>
          </w:p>
        </w:tc>
      </w:tr>
      <w:tr w:rsidR="00EA467F" w:rsidTr="00922A0D">
        <w:trPr>
          <w:trHeight w:val="908"/>
        </w:trPr>
        <w:tc>
          <w:tcPr>
            <w:tcW w:w="3600" w:type="dxa"/>
            <w:shd w:val="clear" w:color="auto" w:fill="auto"/>
          </w:tcPr>
          <w:p w:rsidR="00EA467F" w:rsidRPr="007B5281" w:rsidRDefault="00EA467F" w:rsidP="00EA467F">
            <w:pPr>
              <w:pStyle w:val="BodyText2"/>
              <w:rPr>
                <w:rFonts w:ascii="Times New Roman" w:hAnsi="Times New Roman" w:cs="Times New Roman"/>
                <w:bCs w:val="0"/>
                <w:i w:val="0"/>
                <w:iCs w:val="0"/>
                <w:sz w:val="24"/>
              </w:rPr>
            </w:pPr>
            <w:r>
              <w:rPr>
                <w:rFonts w:ascii="Times New Roman" w:hAnsi="Times New Roman" w:cs="Times New Roman"/>
                <w:bCs w:val="0"/>
                <w:i w:val="0"/>
                <w:iCs w:val="0"/>
                <w:sz w:val="24"/>
              </w:rPr>
              <w:t xml:space="preserve">Department Work Group Sessions </w:t>
            </w:r>
          </w:p>
        </w:tc>
        <w:tc>
          <w:tcPr>
            <w:tcW w:w="8730" w:type="dxa"/>
          </w:tcPr>
          <w:p w:rsidR="00EA467F" w:rsidRPr="00BC7F59" w:rsidRDefault="00EA467F" w:rsidP="00EA467F">
            <w:pPr>
              <w:rPr>
                <w:b/>
              </w:rPr>
            </w:pPr>
            <w:r>
              <w:rPr>
                <w:b/>
              </w:rPr>
              <w:t xml:space="preserve">TBA by Organizers </w:t>
            </w:r>
          </w:p>
        </w:tc>
        <w:tc>
          <w:tcPr>
            <w:tcW w:w="900" w:type="dxa"/>
            <w:shd w:val="clear" w:color="auto" w:fill="auto"/>
          </w:tcPr>
          <w:p w:rsidR="00EA467F" w:rsidRDefault="00EA467F" w:rsidP="00EA467F">
            <w:pPr>
              <w:jc w:val="center"/>
              <w:rPr>
                <w:b/>
              </w:rPr>
            </w:pPr>
          </w:p>
          <w:p w:rsidR="00EA467F" w:rsidRDefault="00EA467F" w:rsidP="00EA467F">
            <w:pPr>
              <w:jc w:val="center"/>
              <w:rPr>
                <w:b/>
              </w:rPr>
            </w:pPr>
          </w:p>
          <w:p w:rsidR="00EA467F" w:rsidRPr="007B5281" w:rsidRDefault="00EA467F" w:rsidP="00EA467F">
            <w:pPr>
              <w:rPr>
                <w:b/>
              </w:rPr>
            </w:pPr>
          </w:p>
        </w:tc>
        <w:tc>
          <w:tcPr>
            <w:tcW w:w="810" w:type="dxa"/>
            <w:shd w:val="clear" w:color="auto" w:fill="auto"/>
          </w:tcPr>
          <w:p w:rsidR="00EA467F" w:rsidRDefault="00EA467F" w:rsidP="00EA467F">
            <w:pPr>
              <w:rPr>
                <w:b/>
              </w:rPr>
            </w:pPr>
          </w:p>
          <w:p w:rsidR="00EA467F" w:rsidRDefault="00EA467F" w:rsidP="00EA467F">
            <w:pPr>
              <w:rPr>
                <w:b/>
              </w:rPr>
            </w:pPr>
          </w:p>
          <w:p w:rsidR="00EA467F" w:rsidRPr="007B5281" w:rsidRDefault="00EA467F" w:rsidP="00EA467F">
            <w:pPr>
              <w:rPr>
                <w:b/>
              </w:rPr>
            </w:pPr>
            <w:r>
              <w:rPr>
                <w:b/>
              </w:rPr>
              <w:t xml:space="preserve">   X</w:t>
            </w:r>
          </w:p>
        </w:tc>
        <w:tc>
          <w:tcPr>
            <w:tcW w:w="900" w:type="dxa"/>
            <w:shd w:val="clear" w:color="auto" w:fill="auto"/>
          </w:tcPr>
          <w:p w:rsidR="00EA467F" w:rsidRDefault="00EA467F" w:rsidP="00EA467F">
            <w:pPr>
              <w:rPr>
                <w:b/>
              </w:rPr>
            </w:pPr>
          </w:p>
          <w:p w:rsidR="00EA467F" w:rsidRDefault="00EA467F" w:rsidP="00EA467F">
            <w:pPr>
              <w:rPr>
                <w:b/>
              </w:rPr>
            </w:pPr>
          </w:p>
          <w:p w:rsidR="00EA467F" w:rsidRDefault="00EA467F" w:rsidP="00EA467F">
            <w:pPr>
              <w:rPr>
                <w:b/>
              </w:rPr>
            </w:pPr>
            <w:r>
              <w:rPr>
                <w:b/>
              </w:rPr>
              <w:t xml:space="preserve">  X</w:t>
            </w:r>
          </w:p>
        </w:tc>
      </w:tr>
    </w:tbl>
    <w:p w:rsidR="00FC1F3D" w:rsidRDefault="00FC1F3D" w:rsidP="004B7B1E"/>
    <w:sectPr w:rsidR="00FC1F3D" w:rsidSect="0047494C">
      <w:headerReference w:type="default" r:id="rId7"/>
      <w:footerReference w:type="default" r:id="rId8"/>
      <w:pgSz w:w="15840" w:h="12240" w:orient="landscape"/>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59" w:rsidRDefault="00F50859">
      <w:r>
        <w:separator/>
      </w:r>
    </w:p>
  </w:endnote>
  <w:endnote w:type="continuationSeparator" w:id="0">
    <w:p w:rsidR="00F50859" w:rsidRDefault="00F5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946" w:rsidRDefault="00CA6946">
    <w:pPr>
      <w:pStyle w:val="Footer"/>
    </w:pPr>
    <w:r>
      <w:rPr>
        <w:rStyle w:val="PageNumber"/>
      </w:rPr>
      <w:fldChar w:fldCharType="begin"/>
    </w:r>
    <w:r>
      <w:rPr>
        <w:rStyle w:val="PageNumber"/>
      </w:rPr>
      <w:instrText xml:space="preserve"> PAGE </w:instrText>
    </w:r>
    <w:r>
      <w:rPr>
        <w:rStyle w:val="PageNumber"/>
      </w:rPr>
      <w:fldChar w:fldCharType="separate"/>
    </w:r>
    <w:r w:rsidR="005C025F">
      <w:rPr>
        <w:rStyle w:val="PageNumber"/>
        <w:noProof/>
      </w:rPr>
      <w:t>2</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E07C13">
      <w:rPr>
        <w:rStyle w:val="PageNumber"/>
        <w:noProof/>
      </w:rPr>
      <w:t>1/17/2019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59" w:rsidRDefault="00F50859">
      <w:r>
        <w:separator/>
      </w:r>
    </w:p>
  </w:footnote>
  <w:footnote w:type="continuationSeparator" w:id="0">
    <w:p w:rsidR="00F50859" w:rsidRDefault="00F508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946" w:rsidRDefault="00CA6946" w:rsidP="00AC40C6">
    <w:pPr>
      <w:pStyle w:val="Header"/>
      <w:rPr>
        <w:rFonts w:ascii="Tahoma" w:hAnsi="Tahoma" w:cs="Tahoma"/>
        <w:b/>
        <w:bCs/>
      </w:rPr>
    </w:pPr>
    <w:r>
      <w:rPr>
        <w:rFonts w:ascii="Tahoma" w:hAnsi="Tahoma" w:cs="Tahoma"/>
        <w:b/>
        <w:bCs/>
      </w:rPr>
      <w:t xml:space="preserve">                                                        </w:t>
    </w:r>
    <w:r w:rsidR="00A82B14">
      <w:rPr>
        <w:rFonts w:ascii="Tahoma" w:hAnsi="Tahoma" w:cs="Tahoma"/>
        <w:b/>
        <w:bCs/>
      </w:rPr>
      <w:t xml:space="preserve">        Spring</w:t>
    </w:r>
    <w:r>
      <w:rPr>
        <w:rFonts w:ascii="Tahoma" w:hAnsi="Tahoma" w:cs="Tahoma"/>
        <w:b/>
        <w:bCs/>
      </w:rPr>
      <w:t xml:space="preserve"> FLEX DAY – </w:t>
    </w:r>
    <w:r w:rsidR="00A82B14">
      <w:rPr>
        <w:rFonts w:ascii="Tahoma" w:hAnsi="Tahoma" w:cs="Tahoma"/>
        <w:b/>
        <w:bCs/>
      </w:rPr>
      <w:t>January 25</w:t>
    </w:r>
    <w:r w:rsidR="00A82B14" w:rsidRPr="00A82B14">
      <w:rPr>
        <w:rFonts w:ascii="Tahoma" w:hAnsi="Tahoma" w:cs="Tahoma"/>
        <w:b/>
        <w:bCs/>
        <w:vertAlign w:val="superscript"/>
      </w:rPr>
      <w:t>th</w:t>
    </w:r>
    <w:r w:rsidR="00A82B14">
      <w:rPr>
        <w:rFonts w:ascii="Tahoma" w:hAnsi="Tahoma" w:cs="Tahoma"/>
        <w:b/>
        <w:bCs/>
      </w:rPr>
      <w:t>, 2019</w:t>
    </w:r>
  </w:p>
  <w:p w:rsidR="00CA6946" w:rsidRDefault="00CA6946" w:rsidP="00014194">
    <w:pPr>
      <w:pStyle w:val="Header"/>
      <w:jc w:val="center"/>
      <w:rPr>
        <w:rFonts w:ascii="Tahoma" w:hAnsi="Tahoma" w:cs="Tahoma"/>
        <w:b/>
        <w:bCs/>
      </w:rPr>
    </w:pPr>
  </w:p>
  <w:p w:rsidR="00CA6946" w:rsidRDefault="00CA6946" w:rsidP="00014194">
    <w:pPr>
      <w:pStyle w:val="Header"/>
      <w:rPr>
        <w:rFonts w:ascii="Tahoma" w:hAnsi="Tahoma" w:cs="Tahoma"/>
        <w:b/>
        <w:bCs/>
      </w:rPr>
    </w:pPr>
    <w:r>
      <w:rPr>
        <w:rFonts w:ascii="Tahoma" w:hAnsi="Tahoma" w:cs="Tahoma"/>
        <w:b/>
        <w:bCs/>
      </w:rPr>
      <w:tab/>
      <w:t xml:space="preserve">                                                                 FLEX DAY WORKSHOPS</w:t>
    </w:r>
    <w:r>
      <w:rPr>
        <w:rFonts w:ascii="Tahoma" w:hAnsi="Tahoma" w:cs="Tahoma"/>
        <w:b/>
        <w:bCs/>
        <w:sz w:val="22"/>
      </w:rPr>
      <w:tab/>
      <w:t xml:space="preserve">       </w:t>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t xml:space="preserve">              </w:t>
    </w:r>
  </w:p>
  <w:p w:rsidR="00CA6946" w:rsidRDefault="00CA6946" w:rsidP="00014194">
    <w:pPr>
      <w:pStyle w:val="Header"/>
      <w:rPr>
        <w:rFonts w:ascii="Tahoma" w:hAnsi="Tahoma" w:cs="Tahoma"/>
        <w:b/>
        <w:bCs/>
        <w:sz w:val="22"/>
      </w:rPr>
    </w:pP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t xml:space="preserve">     </w:t>
    </w:r>
    <w:r>
      <w:rPr>
        <w:rFonts w:ascii="Tahoma" w:hAnsi="Tahoma" w:cs="Tahoma"/>
        <w:b/>
        <w:bCs/>
        <w:sz w:val="22"/>
      </w:rPr>
      <w:tab/>
      <w:t xml:space="preserve">            </w:t>
    </w:r>
  </w:p>
  <w:p w:rsidR="00337DE0" w:rsidRDefault="00CA6946" w:rsidP="00014194">
    <w:pPr>
      <w:pStyle w:val="Header"/>
    </w:pPr>
    <w:r>
      <w:t xml:space="preserve">   WS – Presenter / Title          Description</w:t>
    </w:r>
    <w:r>
      <w:tab/>
    </w:r>
    <w:r>
      <w:tab/>
    </w:r>
    <w:r>
      <w:tab/>
      <w:t xml:space="preserve">             </w:t>
    </w:r>
    <w:r>
      <w:tab/>
      <w:t xml:space="preserve">   </w:t>
    </w:r>
    <w:r w:rsidR="00BC7F59">
      <w:t xml:space="preserve">        </w:t>
    </w:r>
    <w:r w:rsidRPr="00337DE0">
      <w:rPr>
        <w:b/>
        <w:sz w:val="16"/>
        <w:szCs w:val="16"/>
      </w:rPr>
      <w:t xml:space="preserve">ROOM </w:t>
    </w:r>
    <w:r>
      <w:t xml:space="preserve"> </w:t>
    </w:r>
  </w:p>
  <w:p w:rsidR="00BC7F59" w:rsidRPr="00337DE0" w:rsidRDefault="00337DE0" w:rsidP="00014194">
    <w:pPr>
      <w:pStyle w:val="Header"/>
      <w:rPr>
        <w:b/>
      </w:rPr>
    </w:pPr>
    <w:r>
      <w:t xml:space="preserve"> </w:t>
    </w:r>
    <w:r w:rsidRPr="00337DE0">
      <w:rPr>
        <w:b/>
      </w:rPr>
      <w:t xml:space="preserve">                                                                           (1</w:t>
    </w:r>
    <w:r w:rsidRPr="00337DE0">
      <w:rPr>
        <w:b/>
        <w:vertAlign w:val="superscript"/>
      </w:rPr>
      <w:t>st</w:t>
    </w:r>
    <w:r w:rsidRPr="00337DE0">
      <w:rPr>
        <w:b/>
      </w:rPr>
      <w:t xml:space="preserve"> Session 10:45-11:30) (2</w:t>
    </w:r>
    <w:r w:rsidRPr="00337DE0">
      <w:rPr>
        <w:b/>
        <w:vertAlign w:val="superscript"/>
      </w:rPr>
      <w:t>nd</w:t>
    </w:r>
    <w:r w:rsidRPr="00337DE0">
      <w:rPr>
        <w:b/>
      </w:rPr>
      <w:t xml:space="preserve"> Session 11:40 – 12:25) </w:t>
    </w:r>
    <w:r w:rsidRPr="00337DE0">
      <w:rPr>
        <w:b/>
        <w:sz w:val="16"/>
        <w:szCs w:val="16"/>
      </w:rPr>
      <w:t xml:space="preserve">                                                                                                                                                                               </w:t>
    </w:r>
  </w:p>
  <w:p w:rsidR="00CA6946" w:rsidRPr="00337DE0" w:rsidRDefault="00337DE0" w:rsidP="00337DE0">
    <w:pPr>
      <w:pStyle w:val="Header"/>
      <w:ind w:left="11520"/>
      <w:rPr>
        <w:sz w:val="16"/>
        <w:szCs w:val="16"/>
      </w:rPr>
    </w:pPr>
    <w:r>
      <w:rPr>
        <w:sz w:val="16"/>
        <w:szCs w:val="16"/>
      </w:rPr>
      <w:t xml:space="preserve">                  </w:t>
    </w:r>
    <w:r w:rsidR="00BC7F59" w:rsidRPr="00337DE0">
      <w:rPr>
        <w:sz w:val="16"/>
        <w:szCs w:val="16"/>
      </w:rPr>
      <w:t xml:space="preserve"> </w:t>
    </w:r>
    <w:r>
      <w:rPr>
        <w:sz w:val="16"/>
        <w:szCs w:val="16"/>
      </w:rPr>
      <w:t>1</w:t>
    </w:r>
    <w:r w:rsidRPr="00337DE0">
      <w:rPr>
        <w:sz w:val="16"/>
        <w:szCs w:val="16"/>
        <w:vertAlign w:val="superscript"/>
      </w:rPr>
      <w:t>st</w:t>
    </w:r>
    <w:r>
      <w:rPr>
        <w:sz w:val="16"/>
        <w:szCs w:val="16"/>
      </w:rPr>
      <w:t xml:space="preserve"> Session   2</w:t>
    </w:r>
    <w:r w:rsidRPr="00337DE0">
      <w:rPr>
        <w:sz w:val="16"/>
        <w:szCs w:val="16"/>
        <w:vertAlign w:val="superscript"/>
      </w:rPr>
      <w:t>nd</w:t>
    </w:r>
    <w:r>
      <w:rPr>
        <w:sz w:val="16"/>
        <w:szCs w:val="16"/>
      </w:rPr>
      <w:t xml:space="preserve"> Session </w:t>
    </w:r>
    <w:r w:rsidR="00BC7F59" w:rsidRPr="00337DE0">
      <w:rPr>
        <w:sz w:val="16"/>
        <w:szCs w:val="16"/>
      </w:rPr>
      <w:t xml:space="preserve">                                                                                                                                                                                                                                                                                                                                                                                                                                                                                         </w:t>
    </w:r>
  </w:p>
  <w:p w:rsidR="00CA6946" w:rsidRDefault="00337DE0" w:rsidP="00014194">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6F1"/>
    <w:multiLevelType w:val="hybridMultilevel"/>
    <w:tmpl w:val="4398A676"/>
    <w:lvl w:ilvl="0" w:tplc="410E4022">
      <w:start w:val="1"/>
      <w:numFmt w:val="bullet"/>
      <w:lvlText w:val=""/>
      <w:lvlJc w:val="left"/>
      <w:pPr>
        <w:tabs>
          <w:tab w:val="num" w:pos="720"/>
        </w:tabs>
        <w:ind w:left="720" w:hanging="360"/>
      </w:pPr>
      <w:rPr>
        <w:rFonts w:ascii="Wingdings 2" w:hAnsi="Wingdings 2" w:hint="default"/>
      </w:rPr>
    </w:lvl>
    <w:lvl w:ilvl="1" w:tplc="DED65FC2" w:tentative="1">
      <w:start w:val="1"/>
      <w:numFmt w:val="bullet"/>
      <w:lvlText w:val=""/>
      <w:lvlJc w:val="left"/>
      <w:pPr>
        <w:tabs>
          <w:tab w:val="num" w:pos="1440"/>
        </w:tabs>
        <w:ind w:left="1440" w:hanging="360"/>
      </w:pPr>
      <w:rPr>
        <w:rFonts w:ascii="Wingdings 2" w:hAnsi="Wingdings 2" w:hint="default"/>
      </w:rPr>
    </w:lvl>
    <w:lvl w:ilvl="2" w:tplc="EAFC6880" w:tentative="1">
      <w:start w:val="1"/>
      <w:numFmt w:val="bullet"/>
      <w:lvlText w:val=""/>
      <w:lvlJc w:val="left"/>
      <w:pPr>
        <w:tabs>
          <w:tab w:val="num" w:pos="2160"/>
        </w:tabs>
        <w:ind w:left="2160" w:hanging="360"/>
      </w:pPr>
      <w:rPr>
        <w:rFonts w:ascii="Wingdings 2" w:hAnsi="Wingdings 2" w:hint="default"/>
      </w:rPr>
    </w:lvl>
    <w:lvl w:ilvl="3" w:tplc="4C48E79E" w:tentative="1">
      <w:start w:val="1"/>
      <w:numFmt w:val="bullet"/>
      <w:lvlText w:val=""/>
      <w:lvlJc w:val="left"/>
      <w:pPr>
        <w:tabs>
          <w:tab w:val="num" w:pos="2880"/>
        </w:tabs>
        <w:ind w:left="2880" w:hanging="360"/>
      </w:pPr>
      <w:rPr>
        <w:rFonts w:ascii="Wingdings 2" w:hAnsi="Wingdings 2" w:hint="default"/>
      </w:rPr>
    </w:lvl>
    <w:lvl w:ilvl="4" w:tplc="42123DB6" w:tentative="1">
      <w:start w:val="1"/>
      <w:numFmt w:val="bullet"/>
      <w:lvlText w:val=""/>
      <w:lvlJc w:val="left"/>
      <w:pPr>
        <w:tabs>
          <w:tab w:val="num" w:pos="3600"/>
        </w:tabs>
        <w:ind w:left="3600" w:hanging="360"/>
      </w:pPr>
      <w:rPr>
        <w:rFonts w:ascii="Wingdings 2" w:hAnsi="Wingdings 2" w:hint="default"/>
      </w:rPr>
    </w:lvl>
    <w:lvl w:ilvl="5" w:tplc="FEA47CE8" w:tentative="1">
      <w:start w:val="1"/>
      <w:numFmt w:val="bullet"/>
      <w:lvlText w:val=""/>
      <w:lvlJc w:val="left"/>
      <w:pPr>
        <w:tabs>
          <w:tab w:val="num" w:pos="4320"/>
        </w:tabs>
        <w:ind w:left="4320" w:hanging="360"/>
      </w:pPr>
      <w:rPr>
        <w:rFonts w:ascii="Wingdings 2" w:hAnsi="Wingdings 2" w:hint="default"/>
      </w:rPr>
    </w:lvl>
    <w:lvl w:ilvl="6" w:tplc="42DC56FC" w:tentative="1">
      <w:start w:val="1"/>
      <w:numFmt w:val="bullet"/>
      <w:lvlText w:val=""/>
      <w:lvlJc w:val="left"/>
      <w:pPr>
        <w:tabs>
          <w:tab w:val="num" w:pos="5040"/>
        </w:tabs>
        <w:ind w:left="5040" w:hanging="360"/>
      </w:pPr>
      <w:rPr>
        <w:rFonts w:ascii="Wingdings 2" w:hAnsi="Wingdings 2" w:hint="default"/>
      </w:rPr>
    </w:lvl>
    <w:lvl w:ilvl="7" w:tplc="67B88FE4" w:tentative="1">
      <w:start w:val="1"/>
      <w:numFmt w:val="bullet"/>
      <w:lvlText w:val=""/>
      <w:lvlJc w:val="left"/>
      <w:pPr>
        <w:tabs>
          <w:tab w:val="num" w:pos="5760"/>
        </w:tabs>
        <w:ind w:left="5760" w:hanging="360"/>
      </w:pPr>
      <w:rPr>
        <w:rFonts w:ascii="Wingdings 2" w:hAnsi="Wingdings 2" w:hint="default"/>
      </w:rPr>
    </w:lvl>
    <w:lvl w:ilvl="8" w:tplc="B37419F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94"/>
    <w:rsid w:val="00013418"/>
    <w:rsid w:val="00014194"/>
    <w:rsid w:val="00054284"/>
    <w:rsid w:val="00067AEE"/>
    <w:rsid w:val="000B1ABD"/>
    <w:rsid w:val="000F08F2"/>
    <w:rsid w:val="00125C8D"/>
    <w:rsid w:val="0013039B"/>
    <w:rsid w:val="00155ABC"/>
    <w:rsid w:val="001C4032"/>
    <w:rsid w:val="00226941"/>
    <w:rsid w:val="00232F9D"/>
    <w:rsid w:val="002601DA"/>
    <w:rsid w:val="00272E86"/>
    <w:rsid w:val="002A08EE"/>
    <w:rsid w:val="002D4301"/>
    <w:rsid w:val="002F06D7"/>
    <w:rsid w:val="003129BB"/>
    <w:rsid w:val="003244A7"/>
    <w:rsid w:val="00337DE0"/>
    <w:rsid w:val="00381D84"/>
    <w:rsid w:val="003C68B5"/>
    <w:rsid w:val="00423343"/>
    <w:rsid w:val="0044781C"/>
    <w:rsid w:val="0047494C"/>
    <w:rsid w:val="004A2CFF"/>
    <w:rsid w:val="004B7B1E"/>
    <w:rsid w:val="004C36BC"/>
    <w:rsid w:val="004D0B05"/>
    <w:rsid w:val="004D3962"/>
    <w:rsid w:val="00554E87"/>
    <w:rsid w:val="0056241B"/>
    <w:rsid w:val="0059084C"/>
    <w:rsid w:val="005A6A68"/>
    <w:rsid w:val="005C025F"/>
    <w:rsid w:val="00637368"/>
    <w:rsid w:val="00691065"/>
    <w:rsid w:val="006B4398"/>
    <w:rsid w:val="00705F3D"/>
    <w:rsid w:val="007B5281"/>
    <w:rsid w:val="007F571A"/>
    <w:rsid w:val="008036BA"/>
    <w:rsid w:val="008148A2"/>
    <w:rsid w:val="008A6FF2"/>
    <w:rsid w:val="008B7380"/>
    <w:rsid w:val="008C7531"/>
    <w:rsid w:val="00922A0D"/>
    <w:rsid w:val="0092706A"/>
    <w:rsid w:val="00940C20"/>
    <w:rsid w:val="009D37C4"/>
    <w:rsid w:val="00A007AD"/>
    <w:rsid w:val="00A54E7C"/>
    <w:rsid w:val="00A82B14"/>
    <w:rsid w:val="00AC40C6"/>
    <w:rsid w:val="00AE200C"/>
    <w:rsid w:val="00B66E7D"/>
    <w:rsid w:val="00B902DB"/>
    <w:rsid w:val="00BC7F59"/>
    <w:rsid w:val="00C92D84"/>
    <w:rsid w:val="00CA6946"/>
    <w:rsid w:val="00D0251B"/>
    <w:rsid w:val="00D026D6"/>
    <w:rsid w:val="00D15457"/>
    <w:rsid w:val="00D16FF8"/>
    <w:rsid w:val="00D23BDB"/>
    <w:rsid w:val="00D80B0A"/>
    <w:rsid w:val="00DC2B2C"/>
    <w:rsid w:val="00DC7BED"/>
    <w:rsid w:val="00E03AA4"/>
    <w:rsid w:val="00E07C13"/>
    <w:rsid w:val="00E43643"/>
    <w:rsid w:val="00EA13A8"/>
    <w:rsid w:val="00EA467F"/>
    <w:rsid w:val="00EC6577"/>
    <w:rsid w:val="00ED0710"/>
    <w:rsid w:val="00F0779F"/>
    <w:rsid w:val="00F41B81"/>
    <w:rsid w:val="00F50859"/>
    <w:rsid w:val="00FC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9D7032D-1848-48BC-B6BC-CB9FC0CB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1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umns3">
    <w:name w:val="Table Columns 3"/>
    <w:basedOn w:val="TableNormal"/>
    <w:rsid w:val="0001419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Style1">
    <w:name w:val="Table Style1"/>
    <w:basedOn w:val="TableNormal"/>
    <w:rsid w:val="00014194"/>
    <w:tblPr/>
  </w:style>
  <w:style w:type="table" w:styleId="TableTheme">
    <w:name w:val="Table Theme"/>
    <w:basedOn w:val="TableNormal"/>
    <w:rsid w:val="00014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14194"/>
    <w:pPr>
      <w:jc w:val="both"/>
    </w:pPr>
    <w:rPr>
      <w:rFonts w:ascii="Arial" w:hAnsi="Arial" w:cs="Arial"/>
      <w:b/>
      <w:bCs/>
      <w:i/>
      <w:iCs/>
      <w:sz w:val="20"/>
    </w:rPr>
  </w:style>
  <w:style w:type="paragraph" w:styleId="Header">
    <w:name w:val="header"/>
    <w:basedOn w:val="Normal"/>
    <w:rsid w:val="00014194"/>
    <w:pPr>
      <w:tabs>
        <w:tab w:val="center" w:pos="4320"/>
        <w:tab w:val="right" w:pos="8640"/>
      </w:tabs>
    </w:pPr>
  </w:style>
  <w:style w:type="paragraph" w:styleId="Footer">
    <w:name w:val="footer"/>
    <w:basedOn w:val="Normal"/>
    <w:rsid w:val="00014194"/>
    <w:pPr>
      <w:tabs>
        <w:tab w:val="center" w:pos="4320"/>
        <w:tab w:val="right" w:pos="8640"/>
      </w:tabs>
    </w:pPr>
  </w:style>
  <w:style w:type="paragraph" w:styleId="BodyText">
    <w:name w:val="Body Text"/>
    <w:basedOn w:val="Normal"/>
    <w:rsid w:val="00D80B0A"/>
    <w:pPr>
      <w:jc w:val="both"/>
    </w:pPr>
    <w:rPr>
      <w:rFonts w:ascii="Arial" w:hAnsi="Arial" w:cs="Arial"/>
      <w:sz w:val="20"/>
    </w:rPr>
  </w:style>
  <w:style w:type="character" w:styleId="Hyperlink">
    <w:name w:val="Hyperlink"/>
    <w:rsid w:val="00D80B0A"/>
    <w:rPr>
      <w:color w:val="0000FF"/>
      <w:u w:val="single"/>
    </w:rPr>
  </w:style>
  <w:style w:type="character" w:styleId="PageNumber">
    <w:name w:val="page number"/>
    <w:basedOn w:val="DefaultParagraphFont"/>
    <w:rsid w:val="00940C20"/>
  </w:style>
  <w:style w:type="paragraph" w:styleId="BalloonText">
    <w:name w:val="Balloon Text"/>
    <w:basedOn w:val="Normal"/>
    <w:link w:val="BalloonTextChar"/>
    <w:rsid w:val="00AC40C6"/>
    <w:rPr>
      <w:rFonts w:ascii="Tahoma" w:hAnsi="Tahoma" w:cs="Tahoma"/>
      <w:sz w:val="16"/>
      <w:szCs w:val="16"/>
    </w:rPr>
  </w:style>
  <w:style w:type="character" w:customStyle="1" w:styleId="BalloonTextChar">
    <w:name w:val="Balloon Text Char"/>
    <w:link w:val="BalloonText"/>
    <w:rsid w:val="00AC4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Presenter – Christine Aldrich</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 – Christine Aldrich</dc:title>
  <dc:subject/>
  <dc:creator>tamartinez</dc:creator>
  <cp:keywords/>
  <dc:description/>
  <cp:lastModifiedBy>Katie O'Brien</cp:lastModifiedBy>
  <cp:revision>2</cp:revision>
  <dcterms:created xsi:type="dcterms:W3CDTF">2019-01-17T22:11:00Z</dcterms:created>
  <dcterms:modified xsi:type="dcterms:W3CDTF">2019-01-17T22:11:00Z</dcterms:modified>
</cp:coreProperties>
</file>